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5C2D9" w14:textId="77777777" w:rsidR="00142053" w:rsidRDefault="00E31104">
      <w:pPr>
        <w:pStyle w:val="BodyA"/>
        <w:spacing w:after="0" w:line="240" w:lineRule="auto"/>
        <w:jc w:val="center"/>
        <w:rPr>
          <w:b/>
          <w:bCs/>
          <w:sz w:val="28"/>
          <w:szCs w:val="28"/>
        </w:rPr>
      </w:pPr>
      <w:r>
        <w:rPr>
          <w:b/>
          <w:bCs/>
          <w:sz w:val="28"/>
          <w:szCs w:val="28"/>
        </w:rPr>
        <w:t xml:space="preserve">Frequently Asked Questions </w:t>
      </w:r>
    </w:p>
    <w:p w14:paraId="1CC0ADAA" w14:textId="77777777" w:rsidR="00142053" w:rsidRDefault="00E31104">
      <w:pPr>
        <w:pStyle w:val="BodyA"/>
        <w:spacing w:after="0" w:line="240" w:lineRule="auto"/>
        <w:jc w:val="center"/>
        <w:rPr>
          <w:b/>
          <w:bCs/>
          <w:sz w:val="28"/>
          <w:szCs w:val="28"/>
        </w:rPr>
      </w:pPr>
      <w:r>
        <w:rPr>
          <w:b/>
          <w:bCs/>
          <w:sz w:val="28"/>
          <w:szCs w:val="28"/>
        </w:rPr>
        <w:t xml:space="preserve">and </w:t>
      </w:r>
    </w:p>
    <w:p w14:paraId="26D31A64" w14:textId="77777777" w:rsidR="00142053" w:rsidRDefault="00E31104">
      <w:pPr>
        <w:pStyle w:val="BodyA"/>
        <w:spacing w:after="0" w:line="240" w:lineRule="auto"/>
        <w:jc w:val="center"/>
        <w:rPr>
          <w:b/>
          <w:bCs/>
          <w:sz w:val="28"/>
          <w:szCs w:val="28"/>
        </w:rPr>
      </w:pPr>
      <w:r>
        <w:rPr>
          <w:b/>
          <w:bCs/>
          <w:sz w:val="28"/>
          <w:szCs w:val="28"/>
        </w:rPr>
        <w:t xml:space="preserve">other guidance for </w:t>
      </w:r>
    </w:p>
    <w:p w14:paraId="0BA83AAF" w14:textId="77777777" w:rsidR="00142053" w:rsidRDefault="00E31104">
      <w:pPr>
        <w:pStyle w:val="BodyA"/>
        <w:spacing w:after="0" w:line="240" w:lineRule="auto"/>
        <w:jc w:val="center"/>
        <w:rPr>
          <w:b/>
          <w:bCs/>
          <w:sz w:val="28"/>
          <w:szCs w:val="28"/>
        </w:rPr>
      </w:pPr>
      <w:r>
        <w:rPr>
          <w:b/>
          <w:bCs/>
          <w:sz w:val="28"/>
          <w:szCs w:val="28"/>
        </w:rPr>
        <w:t>ALTA/NSPS Land Title Surveys</w:t>
      </w:r>
    </w:p>
    <w:p w14:paraId="4FE00292" w14:textId="28C37CE3" w:rsidR="00142053" w:rsidRDefault="00E31104">
      <w:pPr>
        <w:pStyle w:val="BodyB"/>
        <w:spacing w:before="0" w:after="240"/>
        <w:jc w:val="center"/>
        <w:rPr>
          <w:rFonts w:ascii="Calibri" w:eastAsia="Calibri" w:hAnsi="Calibri" w:cs="Calibri"/>
          <w:sz w:val="20"/>
          <w:szCs w:val="20"/>
        </w:rPr>
      </w:pPr>
      <w:r>
        <w:rPr>
          <w:rFonts w:ascii="Calibri" w:hAnsi="Calibri"/>
          <w:sz w:val="20"/>
          <w:szCs w:val="20"/>
        </w:rPr>
        <w:t>(</w:t>
      </w:r>
      <w:r w:rsidR="00C72137">
        <w:rPr>
          <w:rFonts w:ascii="Calibri" w:hAnsi="Calibri"/>
          <w:sz w:val="20"/>
          <w:szCs w:val="20"/>
        </w:rPr>
        <w:t>Version: 01/19/2022</w:t>
      </w:r>
      <w:r>
        <w:rPr>
          <w:rFonts w:ascii="Calibri" w:hAnsi="Calibri"/>
          <w:sz w:val="20"/>
          <w:szCs w:val="20"/>
        </w:rPr>
        <w:t>)</w:t>
      </w:r>
    </w:p>
    <w:p w14:paraId="5FCF8151" w14:textId="77777777" w:rsidR="00142053" w:rsidRDefault="00E31104">
      <w:pPr>
        <w:pStyle w:val="BodyB"/>
        <w:spacing w:before="240" w:after="240"/>
        <w:rPr>
          <w:rFonts w:ascii="Calibri" w:eastAsia="Calibri" w:hAnsi="Calibri" w:cs="Calibri"/>
          <w:b/>
          <w:bCs/>
        </w:rPr>
      </w:pPr>
      <w:r>
        <w:rPr>
          <w:rFonts w:ascii="Calibri" w:hAnsi="Calibri"/>
          <w:b/>
          <w:bCs/>
        </w:rPr>
        <w:t>General Comments - Prov</w:t>
      </w:r>
      <w:r>
        <w:rPr>
          <w:rFonts w:ascii="Calibri" w:hAnsi="Calibri"/>
          <w:b/>
          <w:bCs/>
        </w:rPr>
        <w:t>iding professional guidance to the client</w:t>
      </w:r>
    </w:p>
    <w:p w14:paraId="36A0D7F1"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 xml:space="preserve">When deemed appropriate, surveyors might want to consider suggesting to their clients that the advice of a wetlands, flood plain, environmental, archeological or other appropriate expert </w:t>
      </w:r>
      <w:r>
        <w:rPr>
          <w:rFonts w:ascii="Times New Roman" w:hAnsi="Times New Roman"/>
        </w:rPr>
        <w:t>might be beneficial.</w:t>
      </w:r>
    </w:p>
    <w:p w14:paraId="53891862" w14:textId="77777777" w:rsidR="00142053" w:rsidRDefault="00E31104">
      <w:pPr>
        <w:pStyle w:val="BodyB"/>
        <w:spacing w:before="240" w:after="240"/>
        <w:rPr>
          <w:rFonts w:ascii="Times New Roman" w:eastAsia="Times New Roman" w:hAnsi="Times New Roman" w:cs="Times New Roman"/>
          <w:b/>
          <w:bCs/>
        </w:rPr>
      </w:pPr>
      <w:r>
        <w:rPr>
          <w:rFonts w:ascii="Calibri" w:hAnsi="Calibri"/>
          <w:b/>
          <w:bCs/>
        </w:rPr>
        <w:t>Section 2 - What do I do if the client requests a Land Title Survey on a condominium unit?</w:t>
      </w:r>
    </w:p>
    <w:p w14:paraId="4D794DA7" w14:textId="77777777" w:rsidR="00142053" w:rsidRDefault="00E31104">
      <w:pPr>
        <w:pStyle w:val="Default"/>
        <w:spacing w:before="120" w:after="120"/>
        <w:rPr>
          <w:rFonts w:ascii="Times New Roman" w:eastAsia="Times New Roman" w:hAnsi="Times New Roman" w:cs="Times New Roman"/>
          <w:color w:val="FF2600"/>
        </w:rPr>
      </w:pPr>
      <w:r>
        <w:rPr>
          <w:rFonts w:ascii="Times New Roman" w:hAnsi="Times New Roman"/>
        </w:rPr>
        <w:t>Reference is made here to Section 2 of the 2021 Standards ("</w:t>
      </w:r>
      <w:r>
        <w:rPr>
          <w:rFonts w:ascii="Times New Roman" w:hAnsi="Times New Roman"/>
          <w:i/>
          <w:iCs/>
        </w:rPr>
        <w:t xml:space="preserve">Certain properties </w:t>
      </w:r>
      <w:r>
        <w:rPr>
          <w:rFonts w:ascii="Times New Roman" w:hAnsi="Times New Roman"/>
          <w:i/>
          <w:iCs/>
        </w:rPr>
        <w:t>or interests in real properties may present issues outside those normally encountered on an ALTA/NSPS Land Title Survey (e.g., marinas, campgrounds, mobile home parks, easements, leases, mineral interests, other non-fee simple interests). The scope of work</w:t>
      </w:r>
      <w:r>
        <w:rPr>
          <w:rFonts w:ascii="Times New Roman" w:hAnsi="Times New Roman"/>
          <w:i/>
          <w:iCs/>
        </w:rPr>
        <w:t xml:space="preserve"> related to surveys of such properties or interests in real properties should be discussed with the client, lender, and insurer, and agreed upon in writing prior to commencing work on the survey.</w:t>
      </w:r>
      <w:r>
        <w:rPr>
          <w:rFonts w:ascii="Times New Roman" w:hAnsi="Times New Roman"/>
        </w:rPr>
        <w:t>”</w:t>
      </w:r>
      <w:r>
        <w:rPr>
          <w:rFonts w:ascii="Times New Roman" w:hAnsi="Times New Roman"/>
        </w:rPr>
        <w:t>)</w:t>
      </w:r>
    </w:p>
    <w:p w14:paraId="41A4E8A5" w14:textId="77777777" w:rsidR="00142053" w:rsidRDefault="00E31104">
      <w:pPr>
        <w:pStyle w:val="Default"/>
        <w:suppressAutoHyphens/>
        <w:spacing w:before="120" w:after="120"/>
        <w:rPr>
          <w:rFonts w:ascii="Times New Roman" w:eastAsia="Times New Roman" w:hAnsi="Times New Roman" w:cs="Times New Roman"/>
        </w:rPr>
      </w:pPr>
      <w:r>
        <w:rPr>
          <w:rFonts w:ascii="Times New Roman" w:hAnsi="Times New Roman"/>
        </w:rPr>
        <w:t xml:space="preserve">Generally, requests for Land Title Surveys of </w:t>
      </w:r>
      <w:r>
        <w:rPr>
          <w:rFonts w:ascii="Times New Roman" w:hAnsi="Times New Roman"/>
        </w:rPr>
        <w:t>condominium units are rooted in someone not understanding what they are dealing with, and therefore asking for something that is not actually needed.</w:t>
      </w:r>
    </w:p>
    <w:p w14:paraId="6E7DC7C6" w14:textId="77777777" w:rsidR="00142053" w:rsidRDefault="00E31104">
      <w:pPr>
        <w:pStyle w:val="Default"/>
        <w:widowControl w:val="0"/>
        <w:spacing w:before="120" w:after="120"/>
        <w:rPr>
          <w:rFonts w:ascii="Times New Roman" w:eastAsia="Times New Roman" w:hAnsi="Times New Roman" w:cs="Times New Roman"/>
        </w:rPr>
      </w:pPr>
      <w:r>
        <w:rPr>
          <w:rFonts w:ascii="Times New Roman" w:hAnsi="Times New Roman"/>
        </w:rPr>
        <w:t>If you inquire of the right person at the title company, they will probably say that the survey is</w:t>
      </w:r>
      <w:r>
        <w:rPr>
          <w:rFonts w:ascii="Times New Roman" w:hAnsi="Times New Roman"/>
        </w:rPr>
        <w:t> </w:t>
      </w:r>
      <w:r>
        <w:rPr>
          <w:rFonts w:ascii="Times New Roman" w:hAnsi="Times New Roman"/>
        </w:rPr>
        <w:t>unneces</w:t>
      </w:r>
      <w:r>
        <w:rPr>
          <w:rFonts w:ascii="Times New Roman" w:hAnsi="Times New Roman"/>
        </w:rPr>
        <w:t>sary and they will cancel the order. After all, when someone buys a condo, what they are normally buying is the airspace</w:t>
      </w:r>
      <w:r>
        <w:rPr>
          <w:rFonts w:ascii="Times New Roman" w:hAnsi="Times New Roman"/>
        </w:rPr>
        <w:t> </w:t>
      </w:r>
      <w:r>
        <w:rPr>
          <w:rFonts w:ascii="Times New Roman" w:hAnsi="Times New Roman"/>
        </w:rPr>
        <w:t>inside the unit (between the</w:t>
      </w:r>
      <w:r>
        <w:rPr>
          <w:rFonts w:ascii="Times New Roman" w:hAnsi="Times New Roman"/>
        </w:rPr>
        <w:t> </w:t>
      </w:r>
      <w:r>
        <w:rPr>
          <w:rFonts w:ascii="Times New Roman" w:hAnsi="Times New Roman"/>
        </w:rPr>
        <w:t>unfinished</w:t>
      </w:r>
      <w:r>
        <w:rPr>
          <w:rFonts w:ascii="Times New Roman" w:hAnsi="Times New Roman"/>
        </w:rPr>
        <w:t> </w:t>
      </w:r>
      <w:r>
        <w:rPr>
          <w:rFonts w:ascii="Times New Roman" w:hAnsi="Times New Roman"/>
        </w:rPr>
        <w:t>walls, floors</w:t>
      </w:r>
      <w:r>
        <w:rPr>
          <w:rFonts w:ascii="Times New Roman" w:hAnsi="Times New Roman"/>
        </w:rPr>
        <w:t> </w:t>
      </w:r>
      <w:r>
        <w:rPr>
          <w:rFonts w:ascii="Times New Roman" w:hAnsi="Times New Roman"/>
        </w:rPr>
        <w:t>and ceilings). Of course, they are also buying a small</w:t>
      </w:r>
      <w:r>
        <w:rPr>
          <w:rFonts w:ascii="Times New Roman" w:hAnsi="Times New Roman"/>
        </w:rPr>
        <w:t> </w:t>
      </w:r>
      <w:r>
        <w:rPr>
          <w:rFonts w:ascii="Times New Roman" w:hAnsi="Times New Roman"/>
        </w:rPr>
        <w:t>percentage of</w:t>
      </w:r>
      <w:r>
        <w:rPr>
          <w:rFonts w:ascii="Times New Roman" w:hAnsi="Times New Roman"/>
        </w:rPr>
        <w:t> </w:t>
      </w:r>
      <w:r>
        <w:rPr>
          <w:rFonts w:ascii="Times New Roman" w:hAnsi="Times New Roman"/>
        </w:rPr>
        <w:t>ownership in</w:t>
      </w:r>
      <w:r>
        <w:rPr>
          <w:rFonts w:ascii="Times New Roman" w:hAnsi="Times New Roman"/>
        </w:rPr>
        <w:t xml:space="preserve"> the</w:t>
      </w:r>
      <w:r>
        <w:rPr>
          <w:rFonts w:ascii="Times New Roman" w:hAnsi="Times New Roman"/>
        </w:rPr>
        <w:t> </w:t>
      </w:r>
      <w:r>
        <w:rPr>
          <w:rFonts w:ascii="Times New Roman" w:hAnsi="Times New Roman"/>
        </w:rPr>
        <w:t>common areas of the development, but that is not normally a big concern because the lion</w:t>
      </w:r>
      <w:r>
        <w:rPr>
          <w:rFonts w:ascii="Times New Roman" w:hAnsi="Times New Roman"/>
        </w:rPr>
        <w:t>’</w:t>
      </w:r>
      <w:r>
        <w:rPr>
          <w:rFonts w:ascii="Times New Roman" w:hAnsi="Times New Roman"/>
        </w:rPr>
        <w:t>s share of the value is in the unit itself.</w:t>
      </w:r>
    </w:p>
    <w:p w14:paraId="6A65DBDB" w14:textId="77777777" w:rsidR="00142053" w:rsidRDefault="00E31104">
      <w:pPr>
        <w:pStyle w:val="Default"/>
        <w:spacing w:before="120" w:after="120"/>
        <w:rPr>
          <w:rFonts w:ascii="Times New Roman" w:eastAsia="Times New Roman" w:hAnsi="Times New Roman" w:cs="Times New Roman"/>
        </w:rPr>
      </w:pPr>
      <w:r>
        <w:rPr>
          <w:rFonts w:ascii="Times New Roman" w:hAnsi="Times New Roman"/>
        </w:rPr>
        <w:t>The surveyor should get the lender, client and title company together in an</w:t>
      </w:r>
      <w:r>
        <w:rPr>
          <w:rFonts w:ascii="Times New Roman" w:hAnsi="Times New Roman"/>
        </w:rPr>
        <w:t> </w:t>
      </w:r>
      <w:r>
        <w:rPr>
          <w:rFonts w:ascii="Times New Roman" w:hAnsi="Times New Roman"/>
        </w:rPr>
        <w:t>email thread or on a conference call, tell</w:t>
      </w:r>
      <w:r>
        <w:rPr>
          <w:rFonts w:ascii="Times New Roman" w:hAnsi="Times New Roman"/>
        </w:rPr>
        <w:t xml:space="preserve"> them that a Land Title Survey of a condo unit really does not make much sense and ask what they actually need. Someone may very well say</w:t>
      </w:r>
      <w:r>
        <w:rPr>
          <w:rFonts w:ascii="Times New Roman" w:hAnsi="Times New Roman"/>
        </w:rPr>
        <w:t> “</w:t>
      </w:r>
      <w:r>
        <w:rPr>
          <w:rFonts w:ascii="Times New Roman" w:hAnsi="Times New Roman"/>
          <w:i/>
          <w:iCs/>
        </w:rPr>
        <w:t>Forget it, that should never have been ordered.</w:t>
      </w:r>
      <w:r>
        <w:rPr>
          <w:rFonts w:ascii="Times New Roman" w:hAnsi="Times New Roman"/>
        </w:rPr>
        <w:t>” </w:t>
      </w:r>
    </w:p>
    <w:p w14:paraId="60B0542C" w14:textId="77777777" w:rsidR="00142053" w:rsidRDefault="00E31104">
      <w:pPr>
        <w:pStyle w:val="Default"/>
        <w:spacing w:before="120" w:after="120"/>
        <w:rPr>
          <w:rFonts w:ascii="Times New Roman" w:eastAsia="Times New Roman" w:hAnsi="Times New Roman" w:cs="Times New Roman"/>
        </w:rPr>
      </w:pPr>
      <w:r>
        <w:rPr>
          <w:rFonts w:ascii="Times New Roman" w:hAnsi="Times New Roman"/>
        </w:rPr>
        <w:t xml:space="preserve">But if they </w:t>
      </w:r>
      <w:r>
        <w:rPr>
          <w:rFonts w:ascii="Times New Roman" w:hAnsi="Times New Roman"/>
          <w:u w:val="single"/>
        </w:rPr>
        <w:t>do</w:t>
      </w:r>
      <w:r>
        <w:rPr>
          <w:rFonts w:ascii="Times New Roman" w:hAnsi="Times New Roman"/>
        </w:rPr>
        <w:t xml:space="preserve"> actually want the survey, those sentences above out of Section 2 apply; the parties need</w:t>
      </w:r>
      <w:r>
        <w:rPr>
          <w:rFonts w:ascii="Times New Roman" w:hAnsi="Times New Roman"/>
        </w:rPr>
        <w:t> </w:t>
      </w:r>
      <w:r>
        <w:rPr>
          <w:rFonts w:ascii="Times New Roman" w:hAnsi="Times New Roman"/>
        </w:rPr>
        <w:t xml:space="preserve">to tell the surveyor what they need in the way of a survey and drawing. Do </w:t>
      </w:r>
      <w:r>
        <w:rPr>
          <w:rFonts w:ascii="Times New Roman" w:hAnsi="Times New Roman"/>
          <w:u w:val="single"/>
        </w:rPr>
        <w:t>not</w:t>
      </w:r>
      <w:r>
        <w:rPr>
          <w:rFonts w:ascii="Times New Roman" w:hAnsi="Times New Roman"/>
        </w:rPr>
        <w:t xml:space="preserve"> let them simply tell you</w:t>
      </w:r>
      <w:r>
        <w:rPr>
          <w:rFonts w:ascii="Times New Roman" w:hAnsi="Times New Roman"/>
        </w:rPr>
        <w:t> “</w:t>
      </w:r>
      <w:r>
        <w:rPr>
          <w:rFonts w:ascii="Times New Roman" w:hAnsi="Times New Roman"/>
          <w:i/>
          <w:iCs/>
        </w:rPr>
        <w:t>You should know.</w:t>
      </w:r>
      <w:r>
        <w:rPr>
          <w:rFonts w:ascii="Times New Roman" w:hAnsi="Times New Roman"/>
        </w:rPr>
        <w:t xml:space="preserve">” </w:t>
      </w:r>
      <w:r>
        <w:rPr>
          <w:rFonts w:ascii="Times New Roman" w:hAnsi="Times New Roman"/>
        </w:rPr>
        <w:t>The surveyor</w:t>
      </w:r>
      <w:r>
        <w:rPr>
          <w:rFonts w:ascii="Times New Roman" w:hAnsi="Times New Roman"/>
        </w:rPr>
        <w:t>’</w:t>
      </w:r>
      <w:r>
        <w:rPr>
          <w:rFonts w:ascii="Times New Roman" w:hAnsi="Times New Roman"/>
        </w:rPr>
        <w:t>s response should be,</w:t>
      </w:r>
      <w:r>
        <w:rPr>
          <w:rFonts w:ascii="Times New Roman" w:hAnsi="Times New Roman"/>
        </w:rPr>
        <w:t xml:space="preserve"> “ </w:t>
      </w:r>
      <w:r>
        <w:rPr>
          <w:rFonts w:ascii="Times New Roman" w:hAnsi="Times New Roman"/>
          <w:i/>
          <w:iCs/>
        </w:rPr>
        <w:t>No,</w:t>
      </w:r>
      <w:r>
        <w:rPr>
          <w:rFonts w:ascii="Times New Roman" w:hAnsi="Times New Roman"/>
          <w:i/>
          <w:iCs/>
        </w:rPr>
        <w:t> </w:t>
      </w:r>
      <w:r>
        <w:rPr>
          <w:rFonts w:ascii="Times New Roman" w:hAnsi="Times New Roman"/>
          <w:i/>
          <w:iCs/>
        </w:rPr>
        <w:t>yo</w:t>
      </w:r>
      <w:r>
        <w:rPr>
          <w:rFonts w:ascii="Times New Roman" w:hAnsi="Times New Roman"/>
          <w:i/>
          <w:iCs/>
        </w:rPr>
        <w:t>u are asking for a</w:t>
      </w:r>
      <w:r>
        <w:rPr>
          <w:rFonts w:ascii="Times New Roman" w:hAnsi="Times New Roman"/>
          <w:i/>
          <w:iCs/>
        </w:rPr>
        <w:t> </w:t>
      </w:r>
      <w:r>
        <w:rPr>
          <w:rFonts w:ascii="Times New Roman" w:hAnsi="Times New Roman"/>
          <w:i/>
          <w:iCs/>
        </w:rPr>
        <w:t>survey of empty air space, so you need to tell me what you need shown on the survey.</w:t>
      </w:r>
      <w:r>
        <w:rPr>
          <w:rFonts w:ascii="Times New Roman" w:hAnsi="Times New Roman"/>
          <w:i/>
          <w:iCs/>
        </w:rPr>
        <w:t xml:space="preserve">” </w:t>
      </w:r>
      <w:r>
        <w:rPr>
          <w:rFonts w:ascii="Times New Roman" w:hAnsi="Times New Roman"/>
        </w:rPr>
        <w:t>That</w:t>
      </w:r>
      <w:r>
        <w:rPr>
          <w:rFonts w:ascii="Times New Roman" w:hAnsi="Times New Roman"/>
        </w:rPr>
        <w:t>’</w:t>
      </w:r>
      <w:r>
        <w:rPr>
          <w:rFonts w:ascii="Times New Roman" w:hAnsi="Times New Roman"/>
        </w:rPr>
        <w:t>s what Section 2 of the</w:t>
      </w:r>
      <w:r>
        <w:rPr>
          <w:rFonts w:ascii="Times New Roman" w:hAnsi="Times New Roman"/>
        </w:rPr>
        <w:t> </w:t>
      </w:r>
      <w:r>
        <w:rPr>
          <w:rFonts w:ascii="Times New Roman" w:hAnsi="Times New Roman"/>
        </w:rPr>
        <w:t>Standards</w:t>
      </w:r>
      <w:r>
        <w:rPr>
          <w:rFonts w:ascii="Times New Roman" w:hAnsi="Times New Roman"/>
        </w:rPr>
        <w:t> </w:t>
      </w:r>
      <w:r>
        <w:rPr>
          <w:rFonts w:ascii="Times New Roman" w:hAnsi="Times New Roman"/>
        </w:rPr>
        <w:t>requires.</w:t>
      </w:r>
    </w:p>
    <w:p w14:paraId="679A003D" w14:textId="77777777" w:rsidR="00142053" w:rsidRDefault="00E31104">
      <w:pPr>
        <w:pStyle w:val="Default"/>
        <w:spacing w:before="120" w:after="240"/>
        <w:rPr>
          <w:rFonts w:ascii="Times New Roman" w:eastAsia="Times New Roman" w:hAnsi="Times New Roman" w:cs="Times New Roman"/>
        </w:rPr>
      </w:pPr>
      <w:r>
        <w:rPr>
          <w:rFonts w:ascii="Times New Roman" w:hAnsi="Times New Roman"/>
        </w:rPr>
        <w:t>In the end, if they do want the survey, the most logical approach might be to stick a PDF of the condo</w:t>
      </w:r>
      <w:r>
        <w:rPr>
          <w:rFonts w:ascii="Times New Roman" w:hAnsi="Times New Roman"/>
        </w:rPr>
        <w:t xml:space="preserve"> unit as-built plans into a</w:t>
      </w:r>
      <w:r>
        <w:rPr>
          <w:rFonts w:ascii="Times New Roman" w:hAnsi="Times New Roman"/>
        </w:rPr>
        <w:t> </w:t>
      </w:r>
      <w:r>
        <w:rPr>
          <w:rFonts w:ascii="Times New Roman" w:hAnsi="Times New Roman"/>
        </w:rPr>
        <w:t>drawing, and tell them this is a copy of the recorded as-built plans that were recorded, but this should be part of the discussion with the parties.</w:t>
      </w:r>
    </w:p>
    <w:p w14:paraId="1A07FF5A" w14:textId="77777777" w:rsidR="00142053" w:rsidRDefault="00E31104">
      <w:pPr>
        <w:pStyle w:val="BodyB"/>
        <w:spacing w:before="240" w:after="240"/>
        <w:rPr>
          <w:rFonts w:ascii="Calibri" w:eastAsia="Calibri" w:hAnsi="Calibri" w:cs="Calibri"/>
          <w:b/>
          <w:bCs/>
          <w:sz w:val="28"/>
          <w:szCs w:val="28"/>
        </w:rPr>
      </w:pPr>
      <w:r>
        <w:rPr>
          <w:rFonts w:ascii="Calibri" w:hAnsi="Calibri"/>
          <w:b/>
          <w:bCs/>
        </w:rPr>
        <w:t>Section 3.A. - What about the transition period leading up to and immediately a</w:t>
      </w:r>
      <w:r>
        <w:rPr>
          <w:rFonts w:ascii="Calibri" w:hAnsi="Calibri"/>
          <w:b/>
          <w:bCs/>
        </w:rPr>
        <w:t>fter February 23, 2021?</w:t>
      </w:r>
    </w:p>
    <w:p w14:paraId="3FDBD558" w14:textId="77777777" w:rsidR="00142053" w:rsidRDefault="00E31104">
      <w:pPr>
        <w:pStyle w:val="BodyB"/>
        <w:spacing w:before="120" w:after="120"/>
        <w:rPr>
          <w:rFonts w:ascii="Times New Roman" w:eastAsia="Times New Roman" w:hAnsi="Times New Roman" w:cs="Times New Roman"/>
        </w:rPr>
      </w:pPr>
      <w:r>
        <w:rPr>
          <w:rFonts w:ascii="Times New Roman" w:hAnsi="Times New Roman"/>
          <w:i/>
          <w:iCs/>
        </w:rPr>
        <w:lastRenderedPageBreak/>
        <w:t>If a contract to perform a Land Title Survey is executed on or after February 23, 2021, the survey must be performed pursuant to the 2021 Standards w</w:t>
      </w:r>
      <w:r>
        <w:rPr>
          <w:rFonts w:ascii="Times New Roman" w:hAnsi="Times New Roman"/>
        </w:rPr>
        <w:t>ith a couple of possible exceptions explained below.</w:t>
      </w:r>
      <w:r>
        <w:rPr>
          <w:rFonts w:ascii="Times New Roman" w:hAnsi="Times New Roman"/>
        </w:rPr>
        <w:t> </w:t>
      </w:r>
    </w:p>
    <w:p w14:paraId="6F946CE7" w14:textId="77777777" w:rsidR="00142053" w:rsidRDefault="00E31104">
      <w:pPr>
        <w:pStyle w:val="BodyB"/>
        <w:spacing w:before="120" w:after="240"/>
        <w:rPr>
          <w:rFonts w:ascii="Times New Roman" w:eastAsia="Times New Roman" w:hAnsi="Times New Roman" w:cs="Times New Roman"/>
          <w:i/>
          <w:iCs/>
        </w:rPr>
      </w:pPr>
      <w:r>
        <w:rPr>
          <w:rFonts w:ascii="Times New Roman" w:hAnsi="Times New Roman"/>
        </w:rPr>
        <w:t>During the transition period,</w:t>
      </w:r>
      <w:r>
        <w:rPr>
          <w:rFonts w:ascii="Times New Roman" w:hAnsi="Times New Roman"/>
        </w:rPr>
        <w:t xml:space="preserve"> surveyors may encounter situations whereby they have entered into a contract to perform an ALTA/NSPS Land Title Survey </w:t>
      </w:r>
      <w:r>
        <w:rPr>
          <w:rFonts w:ascii="Times New Roman" w:hAnsi="Times New Roman"/>
          <w:u w:val="single"/>
        </w:rPr>
        <w:t>prior</w:t>
      </w:r>
      <w:r>
        <w:rPr>
          <w:rFonts w:ascii="Times New Roman" w:hAnsi="Times New Roman"/>
        </w:rPr>
        <w:t xml:space="preserve"> to the effective date of the 2021 Standards (February 23, 2021), but the survey is not anticipated to be completed until </w:t>
      </w:r>
      <w:r>
        <w:rPr>
          <w:rFonts w:ascii="Times New Roman" w:hAnsi="Times New Roman"/>
          <w:u w:val="single"/>
        </w:rPr>
        <w:t>after</w:t>
      </w:r>
      <w:r>
        <w:rPr>
          <w:rFonts w:ascii="Times New Roman" w:hAnsi="Times New Roman"/>
        </w:rPr>
        <w:t xml:space="preserve"> February 23, 2021. In such cases, the surveyor may discuss this with the client, title company and lender and include an appropriate clause in the contract, viz., </w:t>
      </w:r>
      <w:r>
        <w:rPr>
          <w:rFonts w:ascii="Times New Roman" w:hAnsi="Times New Roman"/>
        </w:rPr>
        <w:t>“</w:t>
      </w:r>
      <w:r>
        <w:rPr>
          <w:rFonts w:ascii="Times New Roman" w:hAnsi="Times New Roman"/>
          <w:i/>
          <w:iCs/>
        </w:rPr>
        <w:t>This survey will be prepared using the 2016 Minimum Standard Detail Requirements for Land Title Surveys as established by ALTA and NSPS since said standards are still currently in effect at the time of this cont</w:t>
      </w:r>
      <w:r>
        <w:rPr>
          <w:rFonts w:ascii="Times New Roman" w:hAnsi="Times New Roman"/>
          <w:i/>
          <w:iCs/>
        </w:rPr>
        <w:t>ract. It is understood and accepted by all parties involved that said standards may no longer be current upon completion of the survey, but will still be used for the purpose of this survey.</w:t>
      </w:r>
      <w:r>
        <w:rPr>
          <w:rFonts w:ascii="Times New Roman" w:hAnsi="Times New Roman"/>
          <w:i/>
          <w:iCs/>
        </w:rPr>
        <w:t>”</w:t>
      </w:r>
    </w:p>
    <w:p w14:paraId="2C22D540" w14:textId="77777777" w:rsidR="00142053" w:rsidRDefault="00E31104">
      <w:pPr>
        <w:pStyle w:val="BodyB"/>
        <w:spacing w:before="240" w:after="240"/>
        <w:rPr>
          <w:rFonts w:ascii="Calibri" w:eastAsia="Calibri" w:hAnsi="Calibri" w:cs="Calibri"/>
          <w:b/>
          <w:bCs/>
        </w:rPr>
      </w:pPr>
      <w:r>
        <w:rPr>
          <w:rFonts w:ascii="Calibri" w:hAnsi="Calibri"/>
          <w:b/>
          <w:bCs/>
        </w:rPr>
        <w:t xml:space="preserve">Section 3.A. - </w:t>
      </w:r>
      <w:bookmarkStart w:id="0" w:name="HowAboutHudSurveyRequirements"/>
      <w:r>
        <w:rPr>
          <w:rFonts w:ascii="Calibri" w:hAnsi="Calibri"/>
          <w:b/>
          <w:bCs/>
        </w:rPr>
        <w:t>How about HUD survey requirements with respect to the 2021 ALTA/NSPS Standards?</w:t>
      </w:r>
    </w:p>
    <w:bookmarkEnd w:id="0"/>
    <w:p w14:paraId="4F5BD17D"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On March 25, 2021, HUD</w:t>
      </w:r>
      <w:r>
        <w:rPr>
          <w:rFonts w:ascii="Times New Roman" w:hAnsi="Times New Roman"/>
        </w:rPr>
        <w:t>’</w:t>
      </w:r>
      <w:r>
        <w:rPr>
          <w:rFonts w:ascii="Times New Roman" w:hAnsi="Times New Roman"/>
        </w:rPr>
        <w:t xml:space="preserve">s </w:t>
      </w:r>
      <w:r>
        <w:rPr>
          <w:rFonts w:ascii="Times New Roman" w:hAnsi="Times New Roman"/>
          <w:i/>
          <w:iCs/>
        </w:rPr>
        <w:t xml:space="preserve">Office of Multifamily Production Technical Support </w:t>
      </w:r>
      <w:r>
        <w:rPr>
          <w:rFonts w:ascii="Times New Roman" w:hAnsi="Times New Roman"/>
          <w:i/>
          <w:iCs/>
        </w:rPr>
        <w:t>Division</w:t>
      </w:r>
      <w:r>
        <w:rPr>
          <w:rFonts w:ascii="Times New Roman" w:hAnsi="Times New Roman"/>
        </w:rPr>
        <w:t xml:space="preserve"> issued </w:t>
      </w:r>
      <w:r>
        <w:rPr>
          <w:rFonts w:ascii="Times New Roman" w:hAnsi="Times New Roman"/>
        </w:rPr>
        <w:t>“</w:t>
      </w:r>
      <w:r>
        <w:rPr>
          <w:rFonts w:ascii="Calibri" w:hAnsi="Calibri"/>
        </w:rPr>
        <w:t>Interim Instructions for Surveyors for Form 91073M Pending HUD Revision of the Form</w:t>
      </w:r>
      <w:r>
        <w:rPr>
          <w:rFonts w:ascii="Times New Roman" w:hAnsi="Times New Roman"/>
        </w:rPr>
        <w:t xml:space="preserve">” </w:t>
      </w:r>
      <w:r>
        <w:rPr>
          <w:rFonts w:ascii="Times New Roman" w:hAnsi="Times New Roman"/>
        </w:rPr>
        <w:t>which recognize, explain the application of, and allow use of the 2021 ALTA/NSPS Survey Standards. Those interim instructions were later revised and reiss</w:t>
      </w:r>
      <w:r>
        <w:rPr>
          <w:rFonts w:ascii="Times New Roman" w:hAnsi="Times New Roman"/>
        </w:rPr>
        <w:t>ued.</w:t>
      </w:r>
    </w:p>
    <w:p w14:paraId="10808F11" w14:textId="77777777" w:rsidR="00142053" w:rsidRDefault="00E31104">
      <w:pPr>
        <w:pStyle w:val="BodyB"/>
        <w:spacing w:before="120" w:after="240"/>
        <w:rPr>
          <w:rFonts w:ascii="Helvetica" w:eastAsia="Helvetica" w:hAnsi="Helvetica" w:cs="Helvetica"/>
          <w:color w:val="000099"/>
          <w:sz w:val="28"/>
          <w:szCs w:val="28"/>
          <w:u w:color="000099"/>
        </w:rPr>
      </w:pPr>
      <w:r>
        <w:rPr>
          <w:rFonts w:ascii="Times New Roman" w:hAnsi="Times New Roman"/>
        </w:rPr>
        <w:t>Based on discussions with HUD, it is expected that the final instructions may differ somewhat from the interim instructions. When those instructions are issued, this FAQ will be updated.</w:t>
      </w:r>
    </w:p>
    <w:p w14:paraId="2EFD2CCF" w14:textId="77777777" w:rsidR="00142053" w:rsidRDefault="00E31104">
      <w:pPr>
        <w:pStyle w:val="BodyB"/>
        <w:spacing w:before="240" w:after="240"/>
        <w:rPr>
          <w:rFonts w:ascii="Calibri" w:eastAsia="Calibri" w:hAnsi="Calibri" w:cs="Calibri"/>
          <w:b/>
          <w:bCs/>
        </w:rPr>
      </w:pPr>
      <w:r>
        <w:rPr>
          <w:rFonts w:ascii="Calibri" w:hAnsi="Calibri"/>
          <w:b/>
          <w:bCs/>
        </w:rPr>
        <w:t xml:space="preserve">Section 3.A. - </w:t>
      </w:r>
      <w:bookmarkStart w:id="1" w:name="WhatAboutTheTransitionPeriodAsRelatedToU"/>
      <w:r>
        <w:rPr>
          <w:rFonts w:ascii="Calibri" w:hAnsi="Calibri"/>
          <w:b/>
          <w:bCs/>
        </w:rPr>
        <w:t xml:space="preserve">What about the transition period as related to </w:t>
      </w:r>
      <w:r>
        <w:rPr>
          <w:rFonts w:ascii="Calibri" w:hAnsi="Calibri"/>
          <w:b/>
          <w:bCs/>
        </w:rPr>
        <w:t>“</w:t>
      </w:r>
      <w:r>
        <w:rPr>
          <w:rFonts w:ascii="Calibri" w:hAnsi="Calibri"/>
          <w:b/>
          <w:bCs/>
        </w:rPr>
        <w:t>u</w:t>
      </w:r>
      <w:r>
        <w:rPr>
          <w:rFonts w:ascii="Calibri" w:hAnsi="Calibri"/>
          <w:b/>
          <w:bCs/>
        </w:rPr>
        <w:t>pdates</w:t>
      </w:r>
      <w:r>
        <w:rPr>
          <w:rFonts w:ascii="Calibri" w:hAnsi="Calibri"/>
          <w:b/>
          <w:bCs/>
        </w:rPr>
        <w:t xml:space="preserve">” </w:t>
      </w:r>
      <w:r>
        <w:rPr>
          <w:rFonts w:ascii="Calibri" w:hAnsi="Calibri"/>
          <w:b/>
          <w:bCs/>
        </w:rPr>
        <w:t>of previous surveys?</w:t>
      </w:r>
      <w:bookmarkEnd w:id="1"/>
      <w:r>
        <w:rPr>
          <w:rFonts w:ascii="Calibri" w:hAnsi="Calibri"/>
          <w:b/>
          <w:bCs/>
        </w:rPr>
        <w:t> </w:t>
      </w:r>
    </w:p>
    <w:p w14:paraId="41ACCC6D" w14:textId="77777777" w:rsidR="00142053" w:rsidRDefault="00E31104">
      <w:pPr>
        <w:pStyle w:val="BodyB"/>
        <w:spacing w:before="120" w:after="120"/>
        <w:rPr>
          <w:rFonts w:ascii="Helvetica" w:eastAsia="Helvetica" w:hAnsi="Helvetica" w:cs="Helvetica"/>
          <w:color w:val="000099"/>
          <w:sz w:val="28"/>
          <w:szCs w:val="28"/>
          <w:u w:color="000099"/>
        </w:rPr>
      </w:pPr>
      <w:r>
        <w:rPr>
          <w:rFonts w:ascii="Times New Roman" w:hAnsi="Times New Roman"/>
        </w:rPr>
        <w:t xml:space="preserve">As an aside, notwithstanding the innocuous-sounding word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 xml:space="preserve">there is actually no such thing as an </w:t>
      </w:r>
      <w:r>
        <w:rPr>
          <w:rFonts w:ascii="Times New Roman" w:hAnsi="Times New Roman"/>
        </w:rPr>
        <w:t>“</w:t>
      </w:r>
      <w:r>
        <w:rPr>
          <w:rFonts w:ascii="Times New Roman" w:hAnsi="Times New Roman"/>
        </w:rPr>
        <w:t>update.</w:t>
      </w:r>
      <w:r>
        <w:rPr>
          <w:rFonts w:ascii="Times New Roman" w:hAnsi="Times New Roman"/>
        </w:rPr>
        <w:t>” </w:t>
      </w:r>
      <w:r>
        <w:rPr>
          <w:rFonts w:ascii="Times New Roman" w:hAnsi="Times New Roman"/>
        </w:rPr>
        <w:t xml:space="preserve">An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 xml:space="preserve">is a new survey </w:t>
      </w:r>
      <w:r>
        <w:rPr>
          <w:rFonts w:ascii="Times New Roman" w:hAnsi="Times New Roman"/>
        </w:rPr>
        <w:t xml:space="preserve">– </w:t>
      </w:r>
      <w:r>
        <w:rPr>
          <w:rFonts w:ascii="Times New Roman" w:hAnsi="Times New Roman"/>
        </w:rPr>
        <w:t>the surveyor is certifying that the survey reflects the current conditions on the</w:t>
      </w:r>
      <w:r>
        <w:rPr>
          <w:rFonts w:ascii="Times New Roman" w:hAnsi="Times New Roman"/>
        </w:rPr>
        <w:t xml:space="preserve"> property and that it was performed pursuant to all of the requirements in the current standards.</w:t>
      </w:r>
      <w:r>
        <w:rPr>
          <w:rFonts w:ascii="Times New Roman" w:hAnsi="Times New Roman"/>
        </w:rPr>
        <w:t xml:space="preserve">  </w:t>
      </w:r>
      <w:r>
        <w:rPr>
          <w:rFonts w:ascii="Times New Roman" w:hAnsi="Times New Roman"/>
        </w:rPr>
        <w:t>The only difference is that the surveyor happens to have surveyed the property previously, so the client</w:t>
      </w:r>
      <w:r>
        <w:rPr>
          <w:rFonts w:ascii="Times New Roman" w:hAnsi="Times New Roman"/>
        </w:rPr>
        <w:t> </w:t>
      </w:r>
      <w:r>
        <w:rPr>
          <w:rFonts w:ascii="Times New Roman" w:hAnsi="Times New Roman"/>
          <w:i/>
          <w:iCs/>
        </w:rPr>
        <w:t>might</w:t>
      </w:r>
      <w:r>
        <w:rPr>
          <w:rFonts w:ascii="Times New Roman" w:hAnsi="Times New Roman"/>
        </w:rPr>
        <w:t> </w:t>
      </w:r>
      <w:r>
        <w:rPr>
          <w:rFonts w:ascii="Times New Roman" w:hAnsi="Times New Roman"/>
        </w:rPr>
        <w:t>realize a reduced fee or quicker turnaround de</w:t>
      </w:r>
      <w:r>
        <w:rPr>
          <w:rFonts w:ascii="Times New Roman" w:hAnsi="Times New Roman"/>
        </w:rPr>
        <w:t>pending on a number of factors (e.g., how long has it been since the initial survey?</w:t>
      </w:r>
      <w:r>
        <w:rPr>
          <w:rFonts w:ascii="Times New Roman" w:hAnsi="Times New Roman"/>
        </w:rPr>
        <w:t xml:space="preserve">  </w:t>
      </w:r>
      <w:r>
        <w:rPr>
          <w:rFonts w:ascii="Times New Roman" w:hAnsi="Times New Roman"/>
        </w:rPr>
        <w:t>How many changes have affected the property since?).</w:t>
      </w:r>
      <w:r>
        <w:rPr>
          <w:rFonts w:ascii="Times New Roman" w:hAnsi="Times New Roman"/>
        </w:rPr>
        <w:t> </w:t>
      </w:r>
    </w:p>
    <w:p w14:paraId="1D2B5987"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 xml:space="preserve">In any event, if the contract to conduct the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 xml:space="preserve">is executed after February 23, 2021, it must be </w:t>
      </w:r>
      <w:r>
        <w:rPr>
          <w:rFonts w:ascii="Times New Roman" w:hAnsi="Times New Roman"/>
        </w:rPr>
        <w:t>performed pursuant to the 2021 Standards.</w:t>
      </w:r>
      <w:r>
        <w:rPr>
          <w:rFonts w:ascii="Times New Roman" w:hAnsi="Times New Roman"/>
        </w:rPr>
        <w:t> </w:t>
      </w:r>
      <w:r>
        <w:rPr>
          <w:rFonts w:ascii="Times New Roman" w:hAnsi="Times New Roman"/>
        </w:rPr>
        <w:t xml:space="preserve">However, if the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 xml:space="preserve">is simply a follow-up on a survey </w:t>
      </w:r>
      <w:r>
        <w:rPr>
          <w:rFonts w:ascii="Times New Roman" w:hAnsi="Times New Roman"/>
          <w:i/>
          <w:iCs/>
        </w:rPr>
        <w:t xml:space="preserve">related to a conveyance that had been anticipated to close before February 23rd, but was perhaps unexpectedly delayed for a fairly short time until </w:t>
      </w:r>
      <w:r>
        <w:rPr>
          <w:rFonts w:ascii="Times New Roman" w:hAnsi="Times New Roman"/>
          <w:i/>
          <w:iCs/>
        </w:rPr>
        <w:t>after February 23rd</w:t>
      </w:r>
      <w:r>
        <w:rPr>
          <w:rFonts w:ascii="Times New Roman" w:hAnsi="Times New Roman"/>
        </w:rPr>
        <w:t xml:space="preserve">, the surveyor could arguably conduct the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pursuant to the 2016 Standards. This does</w:t>
      </w:r>
      <w:r>
        <w:rPr>
          <w:rFonts w:ascii="Times New Roman" w:hAnsi="Times New Roman"/>
        </w:rPr>
        <w:t> </w:t>
      </w:r>
      <w:r>
        <w:rPr>
          <w:rFonts w:ascii="Times New Roman" w:hAnsi="Times New Roman"/>
        </w:rPr>
        <w:t>not</w:t>
      </w:r>
      <w:r>
        <w:rPr>
          <w:rFonts w:ascii="Times New Roman" w:hAnsi="Times New Roman"/>
        </w:rPr>
        <w:t> </w:t>
      </w:r>
      <w:r>
        <w:rPr>
          <w:rFonts w:ascii="Times New Roman" w:hAnsi="Times New Roman"/>
        </w:rPr>
        <w:t xml:space="preserve">extend to </w:t>
      </w:r>
      <w:r>
        <w:rPr>
          <w:rFonts w:ascii="Times New Roman" w:hAnsi="Times New Roman"/>
        </w:rPr>
        <w:t>“</w:t>
      </w:r>
      <w:r>
        <w:rPr>
          <w:rFonts w:ascii="Times New Roman" w:hAnsi="Times New Roman"/>
        </w:rPr>
        <w:t>updates</w:t>
      </w:r>
      <w:r>
        <w:rPr>
          <w:rFonts w:ascii="Times New Roman" w:hAnsi="Times New Roman"/>
        </w:rPr>
        <w:t xml:space="preserve">” </w:t>
      </w:r>
      <w:r>
        <w:rPr>
          <w:rFonts w:ascii="Times New Roman" w:hAnsi="Times New Roman"/>
        </w:rPr>
        <w:t xml:space="preserve">unrelated to the initial conveyance or </w:t>
      </w:r>
      <w:r>
        <w:rPr>
          <w:rFonts w:ascii="Times New Roman" w:hAnsi="Times New Roman"/>
        </w:rPr>
        <w:t>“</w:t>
      </w:r>
      <w:r>
        <w:rPr>
          <w:rFonts w:ascii="Times New Roman" w:hAnsi="Times New Roman"/>
        </w:rPr>
        <w:t>updates</w:t>
      </w:r>
      <w:r>
        <w:rPr>
          <w:rFonts w:ascii="Times New Roman" w:hAnsi="Times New Roman"/>
        </w:rPr>
        <w:t xml:space="preserve">” </w:t>
      </w:r>
      <w:r>
        <w:rPr>
          <w:rFonts w:ascii="Times New Roman" w:hAnsi="Times New Roman"/>
        </w:rPr>
        <w:t xml:space="preserve">that take place substantially after February 23rd. By the date of this </w:t>
      </w:r>
      <w:r>
        <w:rPr>
          <w:rFonts w:ascii="Times New Roman" w:hAnsi="Times New Roman"/>
        </w:rPr>
        <w:t xml:space="preserve">version of the FAQs, that </w:t>
      </w:r>
      <w:r>
        <w:rPr>
          <w:rFonts w:ascii="Times New Roman" w:hAnsi="Times New Roman"/>
        </w:rPr>
        <w:t>“</w:t>
      </w:r>
      <w:r>
        <w:rPr>
          <w:rFonts w:ascii="Times New Roman" w:hAnsi="Times New Roman"/>
        </w:rPr>
        <w:t>fairly short</w:t>
      </w:r>
      <w:r>
        <w:rPr>
          <w:rFonts w:ascii="Times New Roman" w:hAnsi="Times New Roman"/>
        </w:rPr>
        <w:t xml:space="preserve">” </w:t>
      </w:r>
      <w:r>
        <w:rPr>
          <w:rFonts w:ascii="Times New Roman" w:hAnsi="Times New Roman"/>
        </w:rPr>
        <w:t>time period is now arguably past.</w:t>
      </w:r>
    </w:p>
    <w:p w14:paraId="2316410C" w14:textId="77777777" w:rsidR="00142053" w:rsidRDefault="00E31104">
      <w:pPr>
        <w:pStyle w:val="BodyB"/>
        <w:spacing w:before="120" w:after="240"/>
        <w:rPr>
          <w:rFonts w:ascii="Times New Roman" w:eastAsia="Times New Roman" w:hAnsi="Times New Roman" w:cs="Times New Roman"/>
          <w:i/>
          <w:iCs/>
        </w:rPr>
      </w:pPr>
      <w:r>
        <w:rPr>
          <w:rFonts w:ascii="Times New Roman" w:hAnsi="Times New Roman"/>
        </w:rPr>
        <w:t xml:space="preserve">Some lenders are wanting the surveyor to not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an old survey, but merely change the names of the certified parties and provide a current certification. Surveyors need to unde</w:t>
      </w:r>
      <w:r>
        <w:rPr>
          <w:rFonts w:ascii="Times New Roman" w:hAnsi="Times New Roman"/>
        </w:rPr>
        <w:t xml:space="preserve">rstand that they may be taking on liability to new parties when they do this, even though they did not </w:t>
      </w:r>
      <w:r>
        <w:rPr>
          <w:rFonts w:ascii="Times New Roman" w:hAnsi="Times New Roman"/>
        </w:rPr>
        <w:lastRenderedPageBreak/>
        <w:t>“</w:t>
      </w:r>
      <w:r>
        <w:rPr>
          <w:rFonts w:ascii="Times New Roman" w:hAnsi="Times New Roman"/>
        </w:rPr>
        <w:t>update</w:t>
      </w:r>
      <w:r>
        <w:rPr>
          <w:rFonts w:ascii="Times New Roman" w:hAnsi="Times New Roman"/>
        </w:rPr>
        <w:t xml:space="preserve">” </w:t>
      </w:r>
      <w:r>
        <w:rPr>
          <w:rFonts w:ascii="Times New Roman" w:hAnsi="Times New Roman"/>
        </w:rPr>
        <w:t xml:space="preserve">the survey. In addition, sending out a survey with a current certification using out-of-date standards may </w:t>
      </w:r>
      <w:r>
        <w:rPr>
          <w:rFonts w:ascii="Times New Roman" w:hAnsi="Times New Roman"/>
        </w:rPr>
        <w:t xml:space="preserve">— </w:t>
      </w:r>
      <w:r>
        <w:rPr>
          <w:rFonts w:ascii="Times New Roman" w:hAnsi="Times New Roman"/>
        </w:rPr>
        <w:t>and probably should</w:t>
      </w:r>
      <w:r>
        <w:rPr>
          <w:rFonts w:ascii="Times New Roman" w:hAnsi="Times New Roman"/>
        </w:rPr>
        <w:t xml:space="preserve"> — </w:t>
      </w:r>
      <w:r>
        <w:rPr>
          <w:rFonts w:ascii="Times New Roman" w:hAnsi="Times New Roman"/>
        </w:rPr>
        <w:t xml:space="preserve">be a problem </w:t>
      </w:r>
      <w:r>
        <w:rPr>
          <w:rFonts w:ascii="Times New Roman" w:hAnsi="Times New Roman"/>
        </w:rPr>
        <w:t>for your Board of Licensure.</w:t>
      </w:r>
    </w:p>
    <w:p w14:paraId="27CA3B42" w14:textId="77777777" w:rsidR="00142053" w:rsidRDefault="00E31104">
      <w:pPr>
        <w:pStyle w:val="BodyB"/>
        <w:spacing w:before="240" w:after="240"/>
        <w:rPr>
          <w:rFonts w:ascii="Calibri" w:eastAsia="Calibri" w:hAnsi="Calibri" w:cs="Calibri"/>
          <w:b/>
          <w:bCs/>
        </w:rPr>
      </w:pPr>
      <w:r>
        <w:rPr>
          <w:rFonts w:ascii="Calibri" w:hAnsi="Calibri"/>
          <w:b/>
          <w:bCs/>
        </w:rPr>
        <w:t>Section 4  - What if the required research information is not provided to the surveyor?</w:t>
      </w:r>
    </w:p>
    <w:p w14:paraId="14501AE9"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 xml:space="preserve">Surveyors may encounter situations whereby the title company is unable </w:t>
      </w:r>
      <w:r>
        <w:rPr>
          <w:rFonts w:ascii="Times New Roman" w:hAnsi="Times New Roman"/>
        </w:rPr>
        <w:t>or unwilling to provide the research otherwise required  pursuant to Section 4. In that case, surveyors must perform their research pursuant to their state</w:t>
      </w:r>
      <w:r>
        <w:rPr>
          <w:rFonts w:ascii="Times New Roman" w:hAnsi="Times New Roman"/>
        </w:rPr>
        <w:t>’</w:t>
      </w:r>
      <w:r>
        <w:rPr>
          <w:rFonts w:ascii="Times New Roman" w:hAnsi="Times New Roman"/>
        </w:rPr>
        <w:t>s requirements, and if their state has no standards in that regard, it is advised that they be familiar with the normal standard of care in their area regarding research. Notwithstanding that, some form of title work is requ</w:t>
      </w:r>
      <w:r>
        <w:rPr>
          <w:rFonts w:ascii="Times New Roman" w:hAnsi="Times New Roman"/>
        </w:rPr>
        <w:t>ired to perform a Land Title Survey (see below).</w:t>
      </w:r>
    </w:p>
    <w:p w14:paraId="60251E81" w14:textId="77777777" w:rsidR="00142053" w:rsidRDefault="00E31104">
      <w:pPr>
        <w:pStyle w:val="BodyB"/>
        <w:spacing w:before="240" w:after="240"/>
        <w:rPr>
          <w:rFonts w:ascii="Calibri" w:eastAsia="Calibri" w:hAnsi="Calibri" w:cs="Calibri"/>
          <w:b/>
          <w:bCs/>
        </w:rPr>
      </w:pPr>
      <w:r>
        <w:rPr>
          <w:rFonts w:ascii="Calibri" w:hAnsi="Calibri"/>
          <w:b/>
          <w:bCs/>
        </w:rPr>
        <w:t>Section 4 - What constitutes satisfactory title evidence?</w:t>
      </w:r>
    </w:p>
    <w:p w14:paraId="0B102E1B" w14:textId="77777777" w:rsidR="00142053" w:rsidRDefault="00E31104">
      <w:pPr>
        <w:pStyle w:val="BodyB"/>
        <w:spacing w:before="120" w:after="120"/>
        <w:rPr>
          <w:rFonts w:ascii="Times New Roman" w:eastAsia="Times New Roman" w:hAnsi="Times New Roman" w:cs="Times New Roman"/>
        </w:rPr>
      </w:pPr>
      <w:r>
        <w:rPr>
          <w:rFonts w:ascii="Times New Roman" w:hAnsi="Times New Roman"/>
        </w:rPr>
        <w:t>Starting in 2016, the ALTA/NSPS Standards state that the surveyor needs to be provid</w:t>
      </w:r>
      <w:r>
        <w:rPr>
          <w:rFonts w:ascii="Times New Roman" w:hAnsi="Times New Roman"/>
        </w:rPr>
        <w:t>ed with the most recent title commitment</w:t>
      </w:r>
      <w:r>
        <w:rPr>
          <w:rFonts w:ascii="Times New Roman" w:hAnsi="Times New Roman"/>
        </w:rPr>
        <w:t> “</w:t>
      </w:r>
      <w:r>
        <w:rPr>
          <w:rFonts w:ascii="Times New Roman" w:hAnsi="Times New Roman"/>
        </w:rPr>
        <w:t>or other title evidence satisfactory to the title insurer.</w:t>
      </w:r>
      <w:r>
        <w:rPr>
          <w:rFonts w:ascii="Times New Roman" w:hAnsi="Times New Roman"/>
        </w:rPr>
        <w:t>”  </w:t>
      </w:r>
      <w:r>
        <w:rPr>
          <w:rFonts w:ascii="Times New Roman" w:hAnsi="Times New Roman"/>
        </w:rPr>
        <w:t>Why not simply require a title commitment?</w:t>
      </w:r>
    </w:p>
    <w:p w14:paraId="06C5833A"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Title companies have other products that are sometimes requested by clients that fall short of commitments and</w:t>
      </w:r>
      <w:r>
        <w:rPr>
          <w:rFonts w:ascii="Times New Roman" w:hAnsi="Times New Roman"/>
        </w:rPr>
        <w:t xml:space="preserve"> policies, but that - for a variety of reasons - are acceptable to clients in some circumstances. In addition, in some cases, abstracts are still used. Since the ALTA/NSPS Standards were developed expressly to address title company needs, the Standards </w:t>
      </w:r>
      <w:r>
        <w:rPr>
          <w:rFonts w:ascii="Times New Roman" w:hAnsi="Times New Roman"/>
        </w:rPr>
        <w:t xml:space="preserve">– </w:t>
      </w:r>
      <w:r>
        <w:rPr>
          <w:rFonts w:ascii="Times New Roman" w:hAnsi="Times New Roman"/>
        </w:rPr>
        <w:t>s</w:t>
      </w:r>
      <w:r>
        <w:rPr>
          <w:rFonts w:ascii="Times New Roman" w:hAnsi="Times New Roman"/>
        </w:rPr>
        <w:t xml:space="preserve">tarting in 2011 </w:t>
      </w:r>
      <w:r>
        <w:rPr>
          <w:rFonts w:ascii="Times New Roman" w:hAnsi="Times New Roman"/>
        </w:rPr>
        <w:t xml:space="preserve">– </w:t>
      </w:r>
      <w:r>
        <w:rPr>
          <w:rFonts w:ascii="Times New Roman" w:hAnsi="Times New Roman"/>
        </w:rPr>
        <w:t>required that title evidence be provided to the surveyor.</w:t>
      </w:r>
      <w:r>
        <w:rPr>
          <w:rFonts w:ascii="Times New Roman" w:hAnsi="Times New Roman"/>
        </w:rPr>
        <w:t xml:space="preserve">  </w:t>
      </w:r>
      <w:r>
        <w:rPr>
          <w:rFonts w:ascii="Times New Roman" w:hAnsi="Times New Roman"/>
        </w:rPr>
        <w:t>But sometimes, the title company may accept or produce something less than a title commitment, so the Standards need to reflect that fact.</w:t>
      </w:r>
    </w:p>
    <w:p w14:paraId="6247EB23" w14:textId="77777777" w:rsidR="00142053" w:rsidRDefault="00E31104">
      <w:pPr>
        <w:pStyle w:val="BodyB"/>
        <w:spacing w:before="240" w:after="240"/>
        <w:rPr>
          <w:rFonts w:ascii="Calibri" w:eastAsia="Calibri" w:hAnsi="Calibri" w:cs="Calibri"/>
          <w:b/>
          <w:bCs/>
        </w:rPr>
      </w:pPr>
      <w:r>
        <w:rPr>
          <w:rFonts w:ascii="Calibri" w:hAnsi="Calibri"/>
          <w:b/>
          <w:bCs/>
        </w:rPr>
        <w:t xml:space="preserve">Section 5.B.ii. - How do we treat </w:t>
      </w:r>
      <w:r>
        <w:rPr>
          <w:rFonts w:ascii="Calibri" w:hAnsi="Calibri"/>
          <w:b/>
          <w:bCs/>
        </w:rPr>
        <w:t>sidewalks and trails along the street/road</w:t>
      </w:r>
    </w:p>
    <w:p w14:paraId="7C1477DA" w14:textId="77777777" w:rsidR="00142053" w:rsidRDefault="00E31104">
      <w:pPr>
        <w:pStyle w:val="BodyB"/>
        <w:spacing w:before="120" w:after="240"/>
        <w:rPr>
          <w:rFonts w:ascii="Calibri" w:eastAsia="Calibri" w:hAnsi="Calibri" w:cs="Calibri"/>
        </w:rPr>
      </w:pPr>
      <w:r>
        <w:rPr>
          <w:rFonts w:ascii="Times New Roman" w:hAnsi="Times New Roman"/>
        </w:rPr>
        <w:t>It is not unusual that streets and roads are found to have sidewalks or trails running adjacent to them or with a grass strip between the two. Li</w:t>
      </w:r>
      <w:r>
        <w:rPr>
          <w:rFonts w:ascii="Times New Roman" w:hAnsi="Times New Roman"/>
        </w:rPr>
        <w:t xml:space="preserve">kewise, walking/biking trails are sometimes found adjacent to the street/road - even as part of the paved way in some cases. Section 5.B.ii. calls for locating the </w:t>
      </w:r>
      <w:r>
        <w:rPr>
          <w:rFonts w:ascii="Times New Roman" w:hAnsi="Times New Roman"/>
        </w:rPr>
        <w:t>“</w:t>
      </w:r>
      <w:r>
        <w:rPr>
          <w:rFonts w:ascii="Times New Roman" w:hAnsi="Times New Roman"/>
        </w:rPr>
        <w:t>travelled way</w:t>
      </w:r>
      <w:r>
        <w:rPr>
          <w:rFonts w:ascii="Times New Roman" w:hAnsi="Times New Roman"/>
        </w:rPr>
        <w:t xml:space="preserve">” </w:t>
      </w:r>
      <w:r>
        <w:rPr>
          <w:rFonts w:ascii="Times New Roman" w:hAnsi="Times New Roman"/>
        </w:rPr>
        <w:t>to be located and, of course, shown on the survey. The question of w</w:t>
      </w:r>
      <w:r>
        <w:rPr>
          <w:rFonts w:ascii="Times New Roman" w:hAnsi="Times New Roman"/>
        </w:rPr>
        <w:t xml:space="preserve">hether such sidewalks/trails should also be located and shown is answered by Section 5.B.iv. which requires that  </w:t>
      </w:r>
      <w:r>
        <w:rPr>
          <w:rFonts w:ascii="Times New Roman" w:hAnsi="Times New Roman"/>
        </w:rPr>
        <w:t>“</w:t>
      </w:r>
      <w:r>
        <w:rPr>
          <w:rFonts w:ascii="Times New Roman" w:hAnsi="Times New Roman"/>
          <w:i/>
          <w:iCs/>
        </w:rPr>
        <w:t>The locat</w:t>
      </w:r>
      <w:r>
        <w:rPr>
          <w:rFonts w:ascii="Times New Roman" w:hAnsi="Times New Roman"/>
          <w:i/>
          <w:iCs/>
        </w:rPr>
        <w:t>ion and character of vehicular, pedestrian, or other forms of access by other than the apparent occupants of the surveyed property to or across the surveyed property observed in the process of conducting the fieldwork (e.g., driveways, alleys, private road</w:t>
      </w:r>
      <w:r>
        <w:rPr>
          <w:rFonts w:ascii="Times New Roman" w:hAnsi="Times New Roman"/>
          <w:i/>
          <w:iCs/>
        </w:rPr>
        <w:t>s, railroads, railroad sidings and spurs, sidewalks, footpaths)</w:t>
      </w:r>
      <w:r>
        <w:rPr>
          <w:rFonts w:ascii="Times New Roman" w:hAnsi="Times New Roman"/>
          <w:i/>
          <w:iCs/>
        </w:rPr>
        <w:t xml:space="preserve">” </w:t>
      </w:r>
      <w:r>
        <w:rPr>
          <w:rFonts w:ascii="Times New Roman" w:hAnsi="Times New Roman"/>
        </w:rPr>
        <w:t>be located and shown.</w:t>
      </w:r>
    </w:p>
    <w:p w14:paraId="3846D3BE" w14:textId="77777777" w:rsidR="00142053" w:rsidRDefault="00E31104">
      <w:pPr>
        <w:pStyle w:val="BodyB"/>
        <w:spacing w:before="240" w:after="240"/>
        <w:rPr>
          <w:rFonts w:ascii="Calibri" w:eastAsia="Calibri" w:hAnsi="Calibri" w:cs="Calibri"/>
          <w:b/>
          <w:bCs/>
        </w:rPr>
      </w:pPr>
      <w:r>
        <w:rPr>
          <w:rFonts w:ascii="Calibri" w:hAnsi="Calibri"/>
          <w:b/>
          <w:bCs/>
        </w:rPr>
        <w:t>Section 5.E.  - Easements and Utilities</w:t>
      </w:r>
    </w:p>
    <w:p w14:paraId="1035E915" w14:textId="77777777" w:rsidR="00142053" w:rsidRDefault="00E31104">
      <w:pPr>
        <w:pStyle w:val="BodyB"/>
        <w:spacing w:before="240" w:after="120"/>
        <w:rPr>
          <w:rFonts w:ascii="Times New Roman" w:eastAsia="Times New Roman" w:hAnsi="Times New Roman" w:cs="Times New Roman"/>
        </w:rPr>
      </w:pPr>
      <w:r>
        <w:rPr>
          <w:rFonts w:ascii="Times New Roman" w:hAnsi="Times New Roman"/>
        </w:rPr>
        <w:t>The 2021 ALTA/NSPS Standards now require that utility locate markings (typically paint or wire flags) be located a</w:t>
      </w:r>
      <w:r>
        <w:rPr>
          <w:rFonts w:ascii="Times New Roman" w:hAnsi="Times New Roman"/>
        </w:rPr>
        <w:t>nd shown as evidence of easements and utilities. For those surveyors concerned about locating and showing wha</w:t>
      </w:r>
      <w:r>
        <w:rPr>
          <w:rFonts w:ascii="Times New Roman" w:hAnsi="Times New Roman"/>
        </w:rPr>
        <w:t>t may or may not be actual utility locate markings because they do not have any information regarding the locate request or source of the markings,</w:t>
      </w:r>
      <w:r>
        <w:rPr>
          <w:rFonts w:ascii="Times New Roman" w:hAnsi="Times New Roman"/>
        </w:rPr>
        <w:t xml:space="preserve"> they might consider developing an appropriate note such as </w:t>
      </w:r>
      <w:r>
        <w:rPr>
          <w:rFonts w:ascii="Times New Roman" w:hAnsi="Times New Roman"/>
        </w:rPr>
        <w:t>“</w:t>
      </w:r>
      <w:r>
        <w:rPr>
          <w:rFonts w:ascii="Times New Roman" w:hAnsi="Times New Roman"/>
          <w:i/>
          <w:iCs/>
        </w:rPr>
        <w:t>Paint markings found on the ground and shown hereon as evidence</w:t>
      </w:r>
      <w:r>
        <w:rPr>
          <w:rFonts w:ascii="Times New Roman" w:hAnsi="Times New Roman"/>
          <w:i/>
          <w:iCs/>
        </w:rPr>
        <w:t xml:space="preserve"> of possible (or probable) underground utilities are consistent with typical utility markings. However, no utility report was provided to authenticate these markings - </w:t>
      </w:r>
      <w:r>
        <w:rPr>
          <w:rFonts w:ascii="Times New Roman" w:hAnsi="Times New Roman"/>
          <w:i/>
          <w:iCs/>
        </w:rPr>
        <w:lastRenderedPageBreak/>
        <w:t>their source is unknown.</w:t>
      </w:r>
      <w:r>
        <w:rPr>
          <w:rFonts w:ascii="Times New Roman" w:hAnsi="Times New Roman"/>
          <w:i/>
          <w:iCs/>
        </w:rPr>
        <w:t> </w:t>
      </w:r>
      <w:r>
        <w:rPr>
          <w:rFonts w:ascii="Times New Roman" w:hAnsi="Times New Roman"/>
          <w:i/>
          <w:iCs/>
        </w:rPr>
        <w:t>The user of this plat/map should rely upon such markings at their own risk.</w:t>
      </w:r>
      <w:r>
        <w:rPr>
          <w:rFonts w:ascii="Times New Roman" w:hAnsi="Times New Roman"/>
        </w:rPr>
        <w:t>”</w:t>
      </w:r>
    </w:p>
    <w:p w14:paraId="7F3B81EC" w14:textId="77777777" w:rsidR="00142053" w:rsidRDefault="00E31104">
      <w:pPr>
        <w:pStyle w:val="BodyB"/>
        <w:spacing w:before="240" w:after="240"/>
        <w:rPr>
          <w:rFonts w:ascii="Calibri" w:eastAsia="Calibri" w:hAnsi="Calibri" w:cs="Calibri"/>
          <w:b/>
          <w:bCs/>
        </w:rPr>
      </w:pPr>
      <w:r>
        <w:rPr>
          <w:rFonts w:ascii="Calibri" w:hAnsi="Calibri"/>
          <w:b/>
          <w:bCs/>
        </w:rPr>
        <w:t xml:space="preserve">Section 5.E.iv. - Why did locating and showing </w:t>
      </w:r>
      <w:r>
        <w:rPr>
          <w:rFonts w:ascii="Calibri" w:hAnsi="Calibri"/>
          <w:b/>
          <w:bCs/>
        </w:rPr>
        <w:t>‘</w:t>
      </w:r>
      <w:r>
        <w:rPr>
          <w:rFonts w:ascii="Calibri" w:hAnsi="Calibri"/>
          <w:b/>
          <w:bCs/>
        </w:rPr>
        <w:t>observed evidence of utilities</w:t>
      </w:r>
      <w:r>
        <w:rPr>
          <w:rFonts w:ascii="Calibri" w:hAnsi="Calibri"/>
          <w:b/>
          <w:bCs/>
        </w:rPr>
        <w:t xml:space="preserve">’ </w:t>
      </w:r>
      <w:r>
        <w:rPr>
          <w:rFonts w:ascii="Calibri" w:hAnsi="Calibri"/>
          <w:b/>
          <w:bCs/>
        </w:rPr>
        <w:t>become mandatory in 2016, rather than optional as it was in Table A item 11(a) of the 2011 Standards?</w:t>
      </w:r>
    </w:p>
    <w:p w14:paraId="28F43CE3" w14:textId="77777777" w:rsidR="00142053" w:rsidRDefault="00E31104">
      <w:pPr>
        <w:pStyle w:val="BodyB"/>
        <w:spacing w:before="120" w:after="120"/>
        <w:rPr>
          <w:rFonts w:ascii="Times New Roman" w:eastAsia="Times New Roman" w:hAnsi="Times New Roman" w:cs="Times New Roman"/>
        </w:rPr>
      </w:pPr>
      <w:r>
        <w:rPr>
          <w:rFonts w:ascii="Times New Roman" w:hAnsi="Times New Roman"/>
        </w:rPr>
        <w:t>This change was made to address a conundrum</w:t>
      </w:r>
      <w:r>
        <w:rPr>
          <w:rFonts w:ascii="Times New Roman" w:hAnsi="Times New Roman"/>
        </w:rPr>
        <w:t>.</w:t>
      </w:r>
      <w:r>
        <w:rPr>
          <w:rFonts w:ascii="Times New Roman" w:hAnsi="Times New Roman"/>
        </w:rPr>
        <w:t xml:space="preserve">  </w:t>
      </w:r>
      <w:r>
        <w:rPr>
          <w:rFonts w:ascii="Times New Roman" w:hAnsi="Times New Roman"/>
        </w:rPr>
        <w:t>Prior to the 2016 Standards, if a client did not request Table A item 11(a) or 11(b), the surveyor had no responsibility to locate and show evidence of utilities.</w:t>
      </w:r>
      <w:r>
        <w:rPr>
          <w:rFonts w:ascii="Times New Roman" w:hAnsi="Times New Roman"/>
        </w:rPr>
        <w:t>  </w:t>
      </w:r>
      <w:r>
        <w:rPr>
          <w:rFonts w:ascii="Times New Roman" w:hAnsi="Times New Roman"/>
        </w:rPr>
        <w:t>But</w:t>
      </w:r>
      <w:r>
        <w:rPr>
          <w:rFonts w:ascii="Times New Roman" w:hAnsi="Times New Roman"/>
        </w:rPr>
        <w:t> </w:t>
      </w:r>
      <w:r>
        <w:rPr>
          <w:rFonts w:ascii="Times New Roman" w:hAnsi="Times New Roman"/>
        </w:rPr>
        <w:t>if that utility evidence could be considered evidence of an easement, the surveyor</w:t>
      </w:r>
      <w:r>
        <w:rPr>
          <w:rFonts w:ascii="Times New Roman" w:hAnsi="Times New Roman"/>
        </w:rPr>
        <w:t> </w:t>
      </w:r>
      <w:r>
        <w:rPr>
          <w:rFonts w:ascii="Times New Roman" w:hAnsi="Times New Roman"/>
          <w:i/>
          <w:iCs/>
        </w:rPr>
        <w:t>di</w:t>
      </w:r>
      <w:r>
        <w:rPr>
          <w:rFonts w:ascii="Times New Roman" w:hAnsi="Times New Roman"/>
          <w:i/>
          <w:iCs/>
        </w:rPr>
        <w:t>d</w:t>
      </w:r>
      <w:r>
        <w:rPr>
          <w:rFonts w:ascii="Times New Roman" w:hAnsi="Times New Roman"/>
        </w:rPr>
        <w:t> </w:t>
      </w:r>
      <w:r>
        <w:rPr>
          <w:rFonts w:ascii="Times New Roman" w:hAnsi="Times New Roman"/>
        </w:rPr>
        <w:t>need to locate and show it pursuant to Sections 5.E.i. through iv.</w:t>
      </w:r>
      <w:r>
        <w:rPr>
          <w:rFonts w:ascii="Times New Roman" w:hAnsi="Times New Roman"/>
        </w:rPr>
        <w:t xml:space="preserve">  </w:t>
      </w:r>
    </w:p>
    <w:p w14:paraId="3CD09793"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 xml:space="preserve">The committees felt that most evidence of utilities could also be considered evidence of easements, so to eliminate future problems and questions in that regard, locating and </w:t>
      </w:r>
      <w:r>
        <w:rPr>
          <w:rFonts w:ascii="Times New Roman" w:hAnsi="Times New Roman"/>
        </w:rPr>
        <w:t>showing observed evidence of utilities was made mandatory starting in 2016.</w:t>
      </w:r>
    </w:p>
    <w:p w14:paraId="2953A457" w14:textId="77777777" w:rsidR="00142053" w:rsidRDefault="00E31104">
      <w:pPr>
        <w:pStyle w:val="BodyB"/>
        <w:spacing w:before="240" w:after="240"/>
        <w:rPr>
          <w:rFonts w:ascii="Times New Roman" w:eastAsia="Times New Roman" w:hAnsi="Times New Roman" w:cs="Times New Roman"/>
        </w:rPr>
      </w:pPr>
      <w:r>
        <w:rPr>
          <w:rFonts w:ascii="Calibri" w:hAnsi="Calibri"/>
          <w:b/>
          <w:bCs/>
        </w:rPr>
        <w:t>Section 5.E.iv. - Why the changes in 2021 regarding this item?</w:t>
      </w:r>
    </w:p>
    <w:p w14:paraId="08D47174"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The committee felt that utility locate markings should be treated as evidence of utilities just like vales, manholes,</w:t>
      </w:r>
      <w:r>
        <w:rPr>
          <w:rFonts w:ascii="Times New Roman" w:hAnsi="Times New Roman"/>
        </w:rPr>
        <w:t xml:space="preserve"> etc. NOTE that this item </w:t>
      </w:r>
      <w:r>
        <w:rPr>
          <w:rFonts w:ascii="Times New Roman" w:hAnsi="Times New Roman"/>
          <w:i/>
          <w:iCs/>
        </w:rPr>
        <w:t>does not</w:t>
      </w:r>
      <w:r>
        <w:rPr>
          <w:rFonts w:ascii="Times New Roman" w:hAnsi="Times New Roman"/>
        </w:rPr>
        <w:t xml:space="preserve"> require a utility locate request.</w:t>
      </w:r>
    </w:p>
    <w:p w14:paraId="59112C6E"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NOTE - The wording of the second sentence in Sec tin 5.E.iv. needs to be clarified. The intent of this - even though it is not clearly expressed - is this</w:t>
      </w:r>
      <w:r>
        <w:rPr>
          <w:rFonts w:ascii="Times New Roman" w:hAnsi="Times New Roman"/>
        </w:rPr>
        <w:t>… “</w:t>
      </w:r>
      <w:r>
        <w:rPr>
          <w:rFonts w:ascii="Times New Roman" w:hAnsi="Times New Roman"/>
          <w:i/>
          <w:iCs/>
        </w:rPr>
        <w:t>Examples of such evidence incl</w:t>
      </w:r>
      <w:r>
        <w:rPr>
          <w:rFonts w:ascii="Times New Roman" w:hAnsi="Times New Roman"/>
          <w:i/>
          <w:iCs/>
        </w:rPr>
        <w:t xml:space="preserve">ude pipeline markers, utility locate markings (including the source of the markings, with a note if unknown), manholes, valves, meters, transformers, pedestals, clean-outs, overhead lines, </w:t>
      </w:r>
      <w:r>
        <w:rPr>
          <w:rFonts w:ascii="Times New Roman" w:hAnsi="Times New Roman"/>
          <w:i/>
          <w:iCs/>
          <w:color w:val="FF2600"/>
          <w:u w:color="FF2600"/>
        </w:rPr>
        <w:t>and</w:t>
      </w:r>
      <w:r>
        <w:rPr>
          <w:rFonts w:ascii="Times New Roman" w:hAnsi="Times New Roman"/>
          <w:i/>
          <w:iCs/>
        </w:rPr>
        <w:t xml:space="preserve"> guy wires </w:t>
      </w:r>
      <w:r>
        <w:rPr>
          <w:rFonts w:ascii="Times New Roman" w:hAnsi="Times New Roman"/>
          <w:i/>
          <w:iCs/>
          <w:color w:val="FF2600"/>
          <w:u w:color="FF2600"/>
        </w:rPr>
        <w:t>on and within five feet of the surveyed property,</w:t>
      </w:r>
      <w:r>
        <w:rPr>
          <w:rFonts w:ascii="Times New Roman" w:hAnsi="Times New Roman"/>
          <w:i/>
          <w:iCs/>
        </w:rPr>
        <w:t xml:space="preserve"> and</w:t>
      </w:r>
      <w:r>
        <w:rPr>
          <w:rFonts w:ascii="Times New Roman" w:hAnsi="Times New Roman"/>
          <w:i/>
          <w:iCs/>
        </w:rPr>
        <w:t xml:space="preserve"> utility poles on </w:t>
      </w:r>
      <w:r>
        <w:rPr>
          <w:rFonts w:ascii="Times New Roman" w:hAnsi="Times New Roman"/>
          <w:i/>
          <w:iCs/>
          <w:color w:val="FF2600"/>
          <w:u w:color="FF2600"/>
        </w:rPr>
        <w:t>and</w:t>
      </w:r>
      <w:r>
        <w:rPr>
          <w:rFonts w:ascii="Times New Roman" w:hAnsi="Times New Roman"/>
          <w:i/>
          <w:iCs/>
        </w:rPr>
        <w:t xml:space="preserve"> within ten feet of the surveyed property.</w:t>
      </w:r>
      <w:r>
        <w:rPr>
          <w:rFonts w:ascii="Times New Roman" w:hAnsi="Times New Roman"/>
          <w:i/>
          <w:iCs/>
        </w:rPr>
        <w:t>”</w:t>
      </w:r>
    </w:p>
    <w:p w14:paraId="02E26822" w14:textId="77777777" w:rsidR="00142053" w:rsidRDefault="00E31104">
      <w:pPr>
        <w:pStyle w:val="BodyB"/>
        <w:spacing w:before="240" w:after="240"/>
        <w:rPr>
          <w:rFonts w:ascii="Calibri" w:eastAsia="Calibri" w:hAnsi="Calibri" w:cs="Calibri"/>
          <w:b/>
          <w:bCs/>
        </w:rPr>
      </w:pPr>
      <w:r>
        <w:rPr>
          <w:rFonts w:ascii="Calibri" w:hAnsi="Calibri"/>
          <w:b/>
          <w:bCs/>
        </w:rPr>
        <w:t>Section 6.B.i.a. - What if the record description does not match the Schedule A description?</w:t>
      </w:r>
    </w:p>
    <w:p w14:paraId="42C1909B" w14:textId="77777777" w:rsidR="00142053" w:rsidRDefault="00E31104">
      <w:pPr>
        <w:pStyle w:val="BodyB"/>
        <w:spacing w:before="120" w:after="120"/>
        <w:rPr>
          <w:rFonts w:ascii="Times New Roman" w:eastAsia="Times New Roman" w:hAnsi="Times New Roman" w:cs="Times New Roman"/>
        </w:rPr>
      </w:pPr>
      <w:r>
        <w:rPr>
          <w:rFonts w:ascii="Times New Roman" w:hAnsi="Times New Roman"/>
        </w:rPr>
        <w:t xml:space="preserve">This section requires that on </w:t>
      </w:r>
      <w:r>
        <w:rPr>
          <w:rFonts w:ascii="Times New Roman" w:hAnsi="Times New Roman"/>
        </w:rPr>
        <w:t xml:space="preserve">a survey of an existing parcel, the record description of the parcel being surveyed shall appear of the face of the plat/map. </w:t>
      </w:r>
    </w:p>
    <w:p w14:paraId="16D56341" w14:textId="77777777" w:rsidR="00142053" w:rsidRDefault="00E31104">
      <w:pPr>
        <w:pStyle w:val="BodyB"/>
        <w:spacing w:before="120" w:after="120"/>
        <w:rPr>
          <w:rFonts w:ascii="Times New Roman" w:eastAsia="Times New Roman" w:hAnsi="Times New Roman" w:cs="Times New Roman"/>
        </w:rPr>
      </w:pPr>
      <w:r>
        <w:rPr>
          <w:rFonts w:ascii="Times New Roman" w:hAnsi="Times New Roman"/>
        </w:rPr>
        <w:t>The description of the real property being insured (contained in</w:t>
      </w:r>
      <w:r>
        <w:rPr>
          <w:rFonts w:ascii="Times New Roman" w:hAnsi="Times New Roman"/>
        </w:rPr>
        <w:t xml:space="preserve"> Schedule A of the title commitment) is typically (and ideally) identical to the record description. In cases where the two descriptions differ, the surveyor may wish to inquire of the title company as to the origin of the Schedule A description. In cases </w:t>
      </w:r>
      <w:r>
        <w:rPr>
          <w:rFonts w:ascii="Times New Roman" w:hAnsi="Times New Roman"/>
        </w:rPr>
        <w:t xml:space="preserve">where the title company insists that it will be insuring the description in Schedule A even though it does not match the record, the surveyor may need to show both descriptions on the face of the plat/map. </w:t>
      </w:r>
    </w:p>
    <w:p w14:paraId="134D7009" w14:textId="77777777" w:rsidR="00142053" w:rsidRDefault="00E31104">
      <w:pPr>
        <w:pStyle w:val="BodyB"/>
        <w:spacing w:before="120" w:after="240"/>
        <w:rPr>
          <w:rFonts w:ascii="Times New Roman" w:eastAsia="Times New Roman" w:hAnsi="Times New Roman" w:cs="Times New Roman"/>
        </w:rPr>
      </w:pPr>
      <w:r>
        <w:rPr>
          <w:rFonts w:ascii="Times New Roman" w:hAnsi="Times New Roman"/>
        </w:rPr>
        <w:t xml:space="preserve">It is certain that the parties will require that the description being insured appear on the face of the plat/map, and 6.B.i.(a) requires that the record description be shown. The surveyor might consider providing a note explaining how the </w:t>
      </w:r>
      <w:r>
        <w:rPr>
          <w:rFonts w:ascii="Times New Roman" w:hAnsi="Times New Roman"/>
        </w:rPr>
        <w:t>two descriptions differ.</w:t>
      </w:r>
    </w:p>
    <w:p w14:paraId="1CCFBE52" w14:textId="77777777" w:rsidR="00142053" w:rsidRDefault="00E31104">
      <w:pPr>
        <w:pStyle w:val="BodyB"/>
        <w:spacing w:before="240" w:after="240"/>
        <w:rPr>
          <w:rFonts w:ascii="Arial" w:eastAsia="Arial" w:hAnsi="Arial" w:cs="Arial"/>
          <w:b/>
          <w:bCs/>
          <w:sz w:val="20"/>
          <w:szCs w:val="20"/>
          <w:u w:color="FF0000"/>
        </w:rPr>
      </w:pPr>
      <w:r>
        <w:rPr>
          <w:rFonts w:ascii="Calibri" w:hAnsi="Calibri"/>
          <w:b/>
          <w:bCs/>
        </w:rPr>
        <w:t>Section 6.B.vi. - Water boundaries and caveat</w:t>
      </w:r>
    </w:p>
    <w:p w14:paraId="68C51A57" w14:textId="77777777" w:rsidR="00142053" w:rsidRDefault="00E31104">
      <w:pPr>
        <w:pStyle w:val="BodyB"/>
        <w:spacing w:before="120" w:after="240"/>
        <w:rPr>
          <w:rFonts w:ascii="Times New Roman" w:eastAsia="Times New Roman" w:hAnsi="Times New Roman" w:cs="Times New Roman"/>
          <w:u w:color="FF0000"/>
        </w:rPr>
      </w:pPr>
      <w:r>
        <w:rPr>
          <w:rFonts w:ascii="Times New Roman" w:hAnsi="Times New Roman"/>
          <w:u w:color="FF0000"/>
        </w:rPr>
        <w:t xml:space="preserve">This section calls for a caveat to be noted regarding the nature of water boundaries. Surveyors might consider developing their own such note, but it could be formulated on the order of, </w:t>
      </w:r>
      <w:r>
        <w:rPr>
          <w:rFonts w:ascii="Times New Roman" w:hAnsi="Times New Roman"/>
          <w:u w:color="FF0000"/>
        </w:rPr>
        <w:t>”</w:t>
      </w:r>
      <w:r>
        <w:rPr>
          <w:rFonts w:ascii="Times New Roman" w:hAnsi="Times New Roman"/>
          <w:i/>
          <w:iCs/>
          <w:u w:color="FF0000"/>
        </w:rPr>
        <w:t xml:space="preserve">Where the property being surveyed includes a water boundary, the parties relying on the survey should be aware that, (1) laws regarding the delineation between the ownership of the bed of </w:t>
      </w:r>
      <w:r>
        <w:rPr>
          <w:rFonts w:ascii="Times New Roman" w:hAnsi="Times New Roman"/>
          <w:i/>
          <w:iCs/>
          <w:u w:color="FF0000"/>
        </w:rPr>
        <w:lastRenderedPageBreak/>
        <w:t>navi</w:t>
      </w:r>
      <w:r>
        <w:rPr>
          <w:rFonts w:ascii="Times New Roman" w:hAnsi="Times New Roman"/>
          <w:i/>
          <w:iCs/>
          <w:u w:color="FF0000"/>
        </w:rPr>
        <w:t>gable waters and the upland owner differ from state to state, (2) water boundaries are typically subject to change due to natural causes, and (3) as a result, the boundary shown hereon may or may not represent the actual location of the limit of title. The</w:t>
      </w:r>
      <w:r>
        <w:rPr>
          <w:rFonts w:ascii="Times New Roman" w:hAnsi="Times New Roman"/>
          <w:i/>
          <w:iCs/>
          <w:u w:color="FF0000"/>
        </w:rPr>
        <w:t xml:space="preserve"> </w:t>
      </w:r>
      <w:r>
        <w:rPr>
          <w:rFonts w:ascii="Times New Roman" w:hAnsi="Times New Roman"/>
          <w:i/>
          <w:iCs/>
          <w:u w:val="single" w:color="FF0000"/>
        </w:rPr>
        <w:t>[e.g., bank, edge of water, high-water mark, ordinary high-water mark, low-water mark, ordinary low-water mark, center of stream]</w:t>
      </w:r>
      <w:r>
        <w:rPr>
          <w:rFonts w:ascii="Times New Roman" w:hAnsi="Times New Roman"/>
          <w:i/>
          <w:iCs/>
          <w:u w:color="FF0000"/>
        </w:rPr>
        <w:t xml:space="preserve"> shown hereon </w:t>
      </w:r>
      <w:r>
        <w:rPr>
          <w:rFonts w:ascii="Times New Roman" w:hAnsi="Times New Roman"/>
          <w:i/>
          <w:iCs/>
          <w:u w:val="single" w:color="FF0000"/>
        </w:rPr>
        <w:t>[was/were]</w:t>
      </w:r>
      <w:r>
        <w:rPr>
          <w:rFonts w:ascii="Times New Roman" w:hAnsi="Times New Roman"/>
          <w:i/>
          <w:iCs/>
          <w:u w:color="FF0000"/>
        </w:rPr>
        <w:t xml:space="preserve"> located on </w:t>
      </w:r>
      <w:r>
        <w:rPr>
          <w:rFonts w:ascii="Times New Roman" w:hAnsi="Times New Roman"/>
          <w:i/>
          <w:iCs/>
          <w:u w:val="single" w:color="FF0000"/>
        </w:rPr>
        <w:t>[D</w:t>
      </w:r>
      <w:r>
        <w:rPr>
          <w:rFonts w:ascii="Times New Roman" w:hAnsi="Times New Roman"/>
          <w:i/>
          <w:iCs/>
          <w:u w:val="single" w:color="FF0000"/>
        </w:rPr>
        <w:t>ate]</w:t>
      </w:r>
      <w:r>
        <w:rPr>
          <w:rFonts w:ascii="Times New Roman" w:hAnsi="Times New Roman"/>
          <w:u w:color="FF0000"/>
        </w:rPr>
        <w:t>.</w:t>
      </w:r>
      <w:r>
        <w:rPr>
          <w:rFonts w:ascii="Times New Roman" w:hAnsi="Times New Roman"/>
          <w:u w:color="FF0000"/>
        </w:rPr>
        <w:t>”</w:t>
      </w:r>
    </w:p>
    <w:p w14:paraId="6C90718A" w14:textId="77777777" w:rsidR="00142053" w:rsidRDefault="00E31104">
      <w:pPr>
        <w:pStyle w:val="BodyB"/>
        <w:spacing w:before="240" w:after="240"/>
        <w:rPr>
          <w:rFonts w:ascii="Arial" w:eastAsia="Arial" w:hAnsi="Arial" w:cs="Arial"/>
          <w:b/>
          <w:bCs/>
          <w:sz w:val="20"/>
          <w:szCs w:val="20"/>
          <w:u w:color="FF0000"/>
        </w:rPr>
      </w:pPr>
      <w:r>
        <w:rPr>
          <w:rFonts w:ascii="Calibri" w:hAnsi="Calibri"/>
          <w:b/>
          <w:bCs/>
        </w:rPr>
        <w:t>Section 6.B.vii. - contiguity, gaps and overlap</w:t>
      </w:r>
      <w:r>
        <w:rPr>
          <w:rFonts w:ascii="Calibri" w:hAnsi="Calibri"/>
          <w:b/>
          <w:bCs/>
        </w:rPr>
        <w:t>s</w:t>
      </w:r>
    </w:p>
    <w:p w14:paraId="7C60B796"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 xml:space="preserve">This section requires that the surveyor disclose any gaps or overlaps with adjoiners or between interior parcels where the property being surveyed is comprised of multiple parcels. This </w:t>
      </w:r>
      <w:r>
        <w:rPr>
          <w:rFonts w:ascii="Times New Roman" w:hAnsi="Times New Roman"/>
          <w:u w:color="FF0000"/>
        </w:rPr>
        <w:t>can be done not only with notes on the graphic portion of the plat/map, but also with textual notes drawing attention to the condition(s). Such information is critically important to the title company so that such issues can be disclosed to the parties and</w:t>
      </w:r>
      <w:r>
        <w:rPr>
          <w:rFonts w:ascii="Times New Roman" w:hAnsi="Times New Roman"/>
          <w:u w:color="FF0000"/>
        </w:rPr>
        <w:t xml:space="preserve"> appropriate exceptions to coverage can be written. </w:t>
      </w:r>
    </w:p>
    <w:p w14:paraId="256FEA75" w14:textId="77777777" w:rsidR="00142053" w:rsidRDefault="00E31104">
      <w:pPr>
        <w:pStyle w:val="BodyB"/>
        <w:spacing w:before="240" w:after="240"/>
        <w:rPr>
          <w:rFonts w:ascii="Times New Roman" w:eastAsia="Times New Roman" w:hAnsi="Times New Roman" w:cs="Times New Roman"/>
          <w:u w:color="FF0000"/>
        </w:rPr>
      </w:pPr>
      <w:r>
        <w:rPr>
          <w:rFonts w:ascii="Times New Roman" w:hAnsi="Times New Roman"/>
          <w:u w:color="FF0000"/>
        </w:rPr>
        <w:t>Where no gaps or overlaps exist, surveyors should consider assuring that the parties understand that fact by providing an affirmative stat</w:t>
      </w:r>
      <w:r>
        <w:rPr>
          <w:rFonts w:ascii="Times New Roman" w:hAnsi="Times New Roman"/>
          <w:u w:color="FF0000"/>
        </w:rPr>
        <w:t>ement to that effect.</w:t>
      </w:r>
    </w:p>
    <w:p w14:paraId="518252CF" w14:textId="77777777" w:rsidR="00142053" w:rsidRDefault="00E31104">
      <w:pPr>
        <w:pStyle w:val="BodyB"/>
        <w:spacing w:before="240" w:after="240"/>
        <w:rPr>
          <w:rFonts w:ascii="Calibri" w:eastAsia="Calibri" w:hAnsi="Calibri" w:cs="Calibri"/>
          <w:b/>
          <w:bCs/>
        </w:rPr>
      </w:pPr>
      <w:bookmarkStart w:id="2" w:name="Section6.C.I."/>
      <w:r>
        <w:rPr>
          <w:rFonts w:ascii="Calibri" w:hAnsi="Calibri"/>
          <w:b/>
          <w:bCs/>
        </w:rPr>
        <w:t>Section 6.C.i.</w:t>
      </w:r>
      <w:bookmarkEnd w:id="2"/>
      <w:r>
        <w:rPr>
          <w:rFonts w:ascii="Calibri" w:hAnsi="Calibri"/>
          <w:b/>
          <w:bCs/>
        </w:rPr>
        <w:t xml:space="preserve"> - Dealing with easements that burden vs. easements that benefit the property</w:t>
      </w:r>
    </w:p>
    <w:p w14:paraId="0FAFB3E8"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 xml:space="preserve">Offsite easements that benefit the surveyed property (i.e., </w:t>
      </w:r>
      <w:r>
        <w:rPr>
          <w:rFonts w:ascii="Times New Roman" w:hAnsi="Times New Roman"/>
          <w:u w:color="FF0000"/>
        </w:rPr>
        <w:t>appurtenant easements) are typically identified as insured parcels in Schedule A of the title commitment. Such easements may be included as part of the survey - treating them as a fee parcel rather than simply graphically showing them - pursuant to optiona</w:t>
      </w:r>
      <w:r>
        <w:rPr>
          <w:rFonts w:ascii="Times New Roman" w:hAnsi="Times New Roman"/>
          <w:u w:color="FF0000"/>
        </w:rPr>
        <w:t>l Table A item 18. But be wary of, for example, cross-parking and access easements that may cover large areas.</w:t>
      </w:r>
    </w:p>
    <w:p w14:paraId="6295838D"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Easements that burden the surveyed property are identified as exceptions to titl</w:t>
      </w:r>
      <w:r>
        <w:rPr>
          <w:rFonts w:ascii="Times New Roman" w:hAnsi="Times New Roman"/>
          <w:u w:color="FF0000"/>
        </w:rPr>
        <w:t xml:space="preserve">e insurance coverage in Schedule BII of the title commitment. </w:t>
      </w:r>
    </w:p>
    <w:p w14:paraId="1CE4A1E0"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 xml:space="preserve">It is possible that an easement could </w:t>
      </w:r>
      <w:r>
        <w:rPr>
          <w:rFonts w:ascii="Times New Roman" w:hAnsi="Times New Roman"/>
          <w:i/>
          <w:iCs/>
          <w:u w:color="FF0000"/>
        </w:rPr>
        <w:t>both</w:t>
      </w:r>
      <w:r>
        <w:rPr>
          <w:rFonts w:ascii="Times New Roman" w:hAnsi="Times New Roman"/>
          <w:u w:color="FF0000"/>
        </w:rPr>
        <w:t xml:space="preserve"> benefit </w:t>
      </w:r>
      <w:r>
        <w:rPr>
          <w:rFonts w:ascii="Times New Roman" w:hAnsi="Times New Roman"/>
          <w:i/>
          <w:iCs/>
          <w:u w:color="FF0000"/>
        </w:rPr>
        <w:t>and</w:t>
      </w:r>
      <w:r>
        <w:rPr>
          <w:rFonts w:ascii="Times New Roman" w:hAnsi="Times New Roman"/>
          <w:u w:color="FF0000"/>
        </w:rPr>
        <w:t xml:space="preserve"> burden a property in which case, it might be listed both in Schedule A and Schedule BII.</w:t>
      </w:r>
    </w:p>
    <w:p w14:paraId="0A22C633"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In addition, sometimes a title company may in</w:t>
      </w:r>
      <w:r>
        <w:rPr>
          <w:rFonts w:ascii="Times New Roman" w:hAnsi="Times New Roman"/>
          <w:u w:color="FF0000"/>
        </w:rPr>
        <w:t xml:space="preserve">advertently list a beneficial easement in Schedule BII as an </w:t>
      </w:r>
      <w:r>
        <w:rPr>
          <w:rFonts w:ascii="Times New Roman" w:hAnsi="Times New Roman"/>
          <w:i/>
          <w:iCs/>
          <w:u w:color="FF0000"/>
        </w:rPr>
        <w:t>exception</w:t>
      </w:r>
      <w:r>
        <w:rPr>
          <w:rFonts w:ascii="Times New Roman" w:hAnsi="Times New Roman"/>
          <w:u w:color="FF0000"/>
        </w:rPr>
        <w:t xml:space="preserve"> to coverage, rather than identifying it in Schedule </w:t>
      </w:r>
      <w:r>
        <w:rPr>
          <w:rFonts w:ascii="Times New Roman" w:hAnsi="Times New Roman"/>
          <w:u w:color="FF0000"/>
        </w:rPr>
        <w:t xml:space="preserve">A as one that </w:t>
      </w:r>
      <w:r>
        <w:rPr>
          <w:rFonts w:ascii="Times New Roman" w:hAnsi="Times New Roman"/>
          <w:i/>
          <w:iCs/>
          <w:u w:color="FF0000"/>
        </w:rPr>
        <w:t>benefits</w:t>
      </w:r>
      <w:r>
        <w:rPr>
          <w:rFonts w:ascii="Times New Roman" w:hAnsi="Times New Roman"/>
          <w:u w:color="FF0000"/>
        </w:rPr>
        <w:t xml:space="preserve"> the surveyed property - or vice versa. </w:t>
      </w:r>
    </w:p>
    <w:p w14:paraId="731A525D" w14:textId="77777777" w:rsidR="00142053" w:rsidRDefault="00E31104">
      <w:pPr>
        <w:pStyle w:val="BodyB"/>
        <w:spacing w:before="120" w:after="240"/>
        <w:rPr>
          <w:rFonts w:ascii="Times New Roman" w:eastAsia="Times New Roman" w:hAnsi="Times New Roman" w:cs="Times New Roman"/>
          <w:u w:color="FF0000"/>
        </w:rPr>
      </w:pPr>
      <w:r>
        <w:rPr>
          <w:rFonts w:ascii="Times New Roman" w:hAnsi="Times New Roman"/>
          <w:u w:color="FF0000"/>
        </w:rPr>
        <w:t>Surveyors should communicate with the title company when they believe there is a discrepancy between their opinion as to the effect of an easement and how the title commitment reports it.</w:t>
      </w:r>
    </w:p>
    <w:p w14:paraId="53D6B0B2" w14:textId="77777777" w:rsidR="00142053" w:rsidRDefault="00E31104">
      <w:pPr>
        <w:pStyle w:val="BodyB"/>
        <w:spacing w:before="240" w:after="240"/>
        <w:rPr>
          <w:rFonts w:ascii="Calibri" w:eastAsia="Calibri" w:hAnsi="Calibri" w:cs="Calibri"/>
          <w:b/>
          <w:bCs/>
          <w:u w:color="FF0000"/>
        </w:rPr>
      </w:pPr>
      <w:r>
        <w:rPr>
          <w:rFonts w:ascii="Calibri" w:hAnsi="Calibri"/>
          <w:b/>
          <w:bCs/>
        </w:rPr>
        <w:t>Section 6.C.ii. - How do I deal with revisions to the title commitment?</w:t>
      </w:r>
    </w:p>
    <w:p w14:paraId="6E4580B1" w14:textId="77777777" w:rsidR="00142053" w:rsidRDefault="00E31104">
      <w:pPr>
        <w:pStyle w:val="BodyB"/>
        <w:spacing w:before="120" w:after="120"/>
        <w:rPr>
          <w:rFonts w:ascii="Arial" w:eastAsia="Arial" w:hAnsi="Arial" w:cs="Arial"/>
          <w:sz w:val="20"/>
          <w:szCs w:val="20"/>
        </w:rPr>
      </w:pPr>
      <w:r>
        <w:rPr>
          <w:rFonts w:ascii="Times New Roman" w:hAnsi="Times New Roman"/>
          <w:u w:color="FF0000"/>
        </w:rPr>
        <w:t>Often in the course of the surveyor preparing the sur</w:t>
      </w:r>
      <w:r>
        <w:rPr>
          <w:rFonts w:ascii="Times New Roman" w:hAnsi="Times New Roman"/>
          <w:u w:color="FF0000"/>
        </w:rPr>
        <w:t>vey and often even after the plat/map has been completed and delivered, there will be revisions made to the title commitment that the surveyor will need to address. Surveyors should assure that they are appropriately compensated for any work that they beli</w:t>
      </w:r>
      <w:r>
        <w:rPr>
          <w:rFonts w:ascii="Times New Roman" w:hAnsi="Times New Roman"/>
          <w:u w:color="FF0000"/>
        </w:rPr>
        <w:t>eve represents additional services. This could be accomplished by carefully spelling out in the contract how many lender/client/title company comment letters will be addressed, how many client/lender/title company-driven revisions will be made to the surve</w:t>
      </w:r>
      <w:r>
        <w:rPr>
          <w:rFonts w:ascii="Times New Roman" w:hAnsi="Times New Roman"/>
          <w:u w:color="FF0000"/>
        </w:rPr>
        <w:t xml:space="preserve">y, and over what period of time. </w:t>
      </w:r>
    </w:p>
    <w:p w14:paraId="7B66F2F2" w14:textId="77777777" w:rsidR="00142053" w:rsidRDefault="00E31104">
      <w:pPr>
        <w:pStyle w:val="BodyC"/>
        <w:spacing w:before="240" w:after="240"/>
        <w:rPr>
          <w:rFonts w:ascii="Arial" w:eastAsia="Arial" w:hAnsi="Arial" w:cs="Arial"/>
          <w:b/>
          <w:bCs/>
          <w:sz w:val="20"/>
          <w:szCs w:val="20"/>
        </w:rPr>
      </w:pPr>
      <w:r>
        <w:rPr>
          <w:rFonts w:ascii="Arial" w:hAnsi="Arial"/>
          <w:b/>
          <w:bCs/>
          <w:sz w:val="20"/>
          <w:szCs w:val="20"/>
        </w:rPr>
        <w:t>Section 6.C.iii. - Does the surveyor need to now identify if streets are public or private?</w:t>
      </w:r>
    </w:p>
    <w:p w14:paraId="37831671"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lastRenderedPageBreak/>
        <w:t xml:space="preserve">Oftentimes people read more into the standards than what they actually say. </w:t>
      </w:r>
    </w:p>
    <w:p w14:paraId="3B00AF83"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This particular item was modified slightly because in the 2016 standards, as it was written the surveyor needed to note lack of access on</w:t>
      </w:r>
      <w:r>
        <w:rPr>
          <w:rFonts w:ascii="Times New Roman" w:hAnsi="Times New Roman"/>
        </w:rPr>
        <w:t>ly if it was a public street.</w:t>
      </w:r>
      <w:r>
        <w:rPr>
          <w:rFonts w:ascii="Times New Roman" w:hAnsi="Times New Roman"/>
        </w:rPr>
        <w:t> </w:t>
      </w:r>
    </w:p>
    <w:p w14:paraId="245A12DA" w14:textId="77777777" w:rsidR="00142053" w:rsidRDefault="00E31104">
      <w:pPr>
        <w:pStyle w:val="Default"/>
        <w:spacing w:before="0"/>
        <w:rPr>
          <w:rFonts w:ascii="Times New Roman" w:eastAsia="Times New Roman" w:hAnsi="Times New Roman" w:cs="Times New Roman"/>
        </w:rPr>
      </w:pPr>
      <w:r>
        <w:rPr>
          <w:rFonts w:ascii="Times New Roman" w:hAnsi="Times New Roman"/>
        </w:rPr>
        <w:t>There were two problems with that:</w:t>
      </w:r>
    </w:p>
    <w:p w14:paraId="2E91FC01" w14:textId="77777777" w:rsidR="00142053" w:rsidRDefault="00E31104">
      <w:pPr>
        <w:pStyle w:val="Default"/>
        <w:spacing w:before="0"/>
        <w:rPr>
          <w:rFonts w:ascii="Times New Roman" w:eastAsia="Times New Roman" w:hAnsi="Times New Roman" w:cs="Times New Roman"/>
        </w:rPr>
      </w:pPr>
      <w:r>
        <w:rPr>
          <w:rFonts w:ascii="Times New Roman" w:hAnsi="Times New Roman"/>
        </w:rPr>
        <w:t>1. The surveyor needed to determine if a street was public, and, more importantly,</w:t>
      </w:r>
    </w:p>
    <w:p w14:paraId="317D7ECB"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 xml:space="preserve">2. Title companies and others need to know about access whether it is a public </w:t>
      </w:r>
      <w:r>
        <w:rPr>
          <w:rFonts w:ascii="Times New Roman" w:hAnsi="Times New Roman"/>
          <w:u w:val="single"/>
        </w:rPr>
        <w:t>or</w:t>
      </w:r>
      <w:r>
        <w:rPr>
          <w:rFonts w:ascii="Times New Roman" w:hAnsi="Times New Roman"/>
        </w:rPr>
        <w:t xml:space="preserve"> private street.</w:t>
      </w:r>
      <w:r>
        <w:rPr>
          <w:rFonts w:ascii="Times New Roman" w:hAnsi="Times New Roman"/>
        </w:rPr>
        <w:t> </w:t>
      </w:r>
    </w:p>
    <w:p w14:paraId="3675EFB6"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Thus the</w:t>
      </w:r>
      <w:r>
        <w:rPr>
          <w:rFonts w:ascii="Times New Roman" w:hAnsi="Times New Roman"/>
        </w:rPr>
        <w:t xml:space="preserve"> item was modified accordingly. If you read it carefully, however, it does not say anything about the surveyor determining if the street is public or private, only that there needs to be a note if there is lack of access to either a public or private stree</w:t>
      </w:r>
      <w:r>
        <w:rPr>
          <w:rFonts w:ascii="Times New Roman" w:hAnsi="Times New Roman"/>
        </w:rPr>
        <w:t>t.</w:t>
      </w:r>
    </w:p>
    <w:p w14:paraId="6579FB45"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Having written that, let</w:t>
      </w:r>
      <w:r>
        <w:rPr>
          <w:rFonts w:ascii="Times New Roman" w:hAnsi="Times New Roman"/>
        </w:rPr>
        <w:t>’</w:t>
      </w:r>
      <w:r>
        <w:rPr>
          <w:rFonts w:ascii="Times New Roman" w:hAnsi="Times New Roman"/>
        </w:rPr>
        <w:t>s answer this question more specifically.</w:t>
      </w:r>
      <w:r>
        <w:rPr>
          <w:rFonts w:ascii="Times New Roman" w:hAnsi="Times New Roman"/>
        </w:rPr>
        <w:t> </w:t>
      </w:r>
    </w:p>
    <w:p w14:paraId="13A98453"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The standards never required surveyors to identify streets as public or private other than perhaps as may have been reported on, for example, a subdivision plat or in a grant of easemen</w:t>
      </w:r>
      <w:r>
        <w:rPr>
          <w:rFonts w:ascii="Times New Roman" w:hAnsi="Times New Roman"/>
        </w:rPr>
        <w:t>t listed in Schedule BII.</w:t>
      </w:r>
      <w:r>
        <w:rPr>
          <w:rFonts w:ascii="Times New Roman" w:hAnsi="Times New Roman"/>
        </w:rPr>
        <w:t> </w:t>
      </w:r>
    </w:p>
    <w:p w14:paraId="69461A19"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 xml:space="preserve">These types of requests routinely come from lenders as part of the litany of things they want surveyors to tell them. Those requests </w:t>
      </w:r>
      <w:r>
        <w:rPr>
          <w:rFonts w:ascii="Times New Roman" w:hAnsi="Times New Roman"/>
          <w:i/>
          <w:iCs/>
        </w:rPr>
        <w:t>very frequently</w:t>
      </w:r>
      <w:r>
        <w:rPr>
          <w:rFonts w:ascii="Times New Roman" w:hAnsi="Times New Roman"/>
        </w:rPr>
        <w:t xml:space="preserve"> have the surveyor providing more information than the standards require. Surveyo</w:t>
      </w:r>
      <w:r>
        <w:rPr>
          <w:rFonts w:ascii="Times New Roman" w:hAnsi="Times New Roman"/>
        </w:rPr>
        <w:t>rs should strive to be helpful and cooperative, but not to their detriment (i.e., additional liability), so each request should be carefully weighed.</w:t>
      </w:r>
      <w:r>
        <w:rPr>
          <w:rFonts w:ascii="Times New Roman" w:hAnsi="Times New Roman"/>
        </w:rPr>
        <w:t> </w:t>
      </w:r>
    </w:p>
    <w:p w14:paraId="416428E5" w14:textId="77777777" w:rsidR="00142053" w:rsidRDefault="00E31104">
      <w:pPr>
        <w:pStyle w:val="Default"/>
        <w:spacing w:before="0" w:after="120"/>
        <w:rPr>
          <w:rFonts w:ascii="Times New Roman" w:eastAsia="Times New Roman" w:hAnsi="Times New Roman" w:cs="Times New Roman"/>
        </w:rPr>
      </w:pPr>
      <w:r>
        <w:rPr>
          <w:rFonts w:ascii="Times New Roman" w:hAnsi="Times New Roman"/>
        </w:rPr>
        <w:t xml:space="preserve">Most of the time, surveyors can probably </w:t>
      </w:r>
      <w:r>
        <w:rPr>
          <w:rFonts w:ascii="Times New Roman" w:hAnsi="Times New Roman"/>
          <w:lang w:val="it-IT"/>
        </w:rPr>
        <w:t>determine</w:t>
      </w:r>
      <w:r>
        <w:rPr>
          <w:rFonts w:ascii="Times New Roman" w:hAnsi="Times New Roman"/>
        </w:rPr>
        <w:t xml:space="preserve">, with some confidence, if a street is public or </w:t>
      </w:r>
      <w:r>
        <w:rPr>
          <w:rFonts w:ascii="Times New Roman" w:hAnsi="Times New Roman"/>
        </w:rPr>
        <w:t>private - assuming the documentation was provided or is readily available.</w:t>
      </w:r>
    </w:p>
    <w:p w14:paraId="3A819DAD" w14:textId="77777777" w:rsidR="00142053" w:rsidRDefault="00E31104">
      <w:pPr>
        <w:pStyle w:val="Default"/>
        <w:spacing w:before="0" w:after="120"/>
        <w:rPr>
          <w:rFonts w:ascii="Arial" w:eastAsia="Arial" w:hAnsi="Arial" w:cs="Arial"/>
          <w:sz w:val="20"/>
          <w:szCs w:val="20"/>
        </w:rPr>
      </w:pPr>
      <w:r>
        <w:rPr>
          <w:rFonts w:ascii="Times New Roman" w:hAnsi="Times New Roman"/>
        </w:rPr>
        <w:t>But - aside from the items of Schedule BII and other research that surveyors need to do based on their state laws or the normal standard of care - under the ALTA/NSPS Standards they</w:t>
      </w:r>
      <w:r>
        <w:rPr>
          <w:rFonts w:ascii="Times New Roman" w:hAnsi="Times New Roman"/>
        </w:rPr>
        <w:t xml:space="preserve"> do not need to independently make such a determination. If it</w:t>
      </w:r>
      <w:r>
        <w:rPr>
          <w:rFonts w:ascii="Times New Roman" w:hAnsi="Times New Roman"/>
        </w:rPr>
        <w:t>’</w:t>
      </w:r>
      <w:r>
        <w:rPr>
          <w:rFonts w:ascii="Times New Roman" w:hAnsi="Times New Roman"/>
        </w:rPr>
        <w:t>s not obvious from the documentation, they may wish to decline to opine on the issue pending someone providing</w:t>
      </w:r>
      <w:r>
        <w:rPr>
          <w:rFonts w:ascii="Times New Roman" w:hAnsi="Times New Roman"/>
          <w:lang w:val="it-IT"/>
        </w:rPr>
        <w:t xml:space="preserve"> definitive documentation.</w:t>
      </w:r>
      <w:r>
        <w:rPr>
          <w:rFonts w:ascii="Times New Roman" w:hAnsi="Times New Roman"/>
        </w:rPr>
        <w:t> </w:t>
      </w:r>
    </w:p>
    <w:p w14:paraId="198AD070" w14:textId="77777777" w:rsidR="00142053" w:rsidRDefault="00E31104">
      <w:pPr>
        <w:pStyle w:val="BodyC"/>
        <w:spacing w:before="240" w:after="240"/>
        <w:rPr>
          <w:rFonts w:ascii="Calibri" w:eastAsia="Calibri" w:hAnsi="Calibri" w:cs="Calibri"/>
          <w:b/>
          <w:bCs/>
        </w:rPr>
      </w:pPr>
      <w:r>
        <w:rPr>
          <w:rFonts w:ascii="Calibri" w:hAnsi="Calibri"/>
          <w:b/>
          <w:bCs/>
        </w:rPr>
        <w:t>Section 6.C.viii. - How does the surveyor address easem</w:t>
      </w:r>
      <w:r>
        <w:rPr>
          <w:rFonts w:ascii="Calibri" w:hAnsi="Calibri"/>
          <w:b/>
          <w:bCs/>
        </w:rPr>
        <w:t>ents found, but not listed in title commitment?</w:t>
      </w:r>
    </w:p>
    <w:p w14:paraId="7D6B2350" w14:textId="77777777" w:rsidR="00142053" w:rsidRDefault="00E31104">
      <w:pPr>
        <w:pStyle w:val="BodyC"/>
        <w:spacing w:before="120" w:after="120"/>
        <w:rPr>
          <w:u w:color="FF0000"/>
        </w:rPr>
      </w:pPr>
      <w:r>
        <w:rPr>
          <w:u w:color="FF0000"/>
        </w:rPr>
        <w:t>This will most commonly happen when the surveyor, (a) by some means or other, becomes aware of an easement not listed in the title commitment o</w:t>
      </w:r>
      <w:r>
        <w:rPr>
          <w:u w:color="FF0000"/>
        </w:rPr>
        <w:t xml:space="preserve">r (b) an easement that appeared in an earlier version of the commitment has been removed from a subsequent version.  </w:t>
      </w:r>
    </w:p>
    <w:p w14:paraId="1236B0F9" w14:textId="77777777" w:rsidR="00142053" w:rsidRDefault="00E31104">
      <w:pPr>
        <w:pStyle w:val="BodyC"/>
        <w:spacing w:before="120" w:after="120"/>
        <w:rPr>
          <w:u w:color="FF0000"/>
        </w:rPr>
      </w:pPr>
      <w:r>
        <w:rPr>
          <w:u w:color="FF0000"/>
        </w:rPr>
        <w:t>In this events, typically one of three things has occurred. (1) the title com</w:t>
      </w:r>
      <w:r>
        <w:rPr>
          <w:u w:color="FF0000"/>
        </w:rPr>
        <w:t>pany simply inadvertently missed an easement, (2) the title company is aware - but the surveyor is not - that the easement has been released, vacated or abandoned, or (3) the title company has decided to insure over the easement.</w:t>
      </w:r>
    </w:p>
    <w:p w14:paraId="572FEC24" w14:textId="77777777" w:rsidR="00142053" w:rsidRDefault="00E31104">
      <w:pPr>
        <w:pStyle w:val="BodyC"/>
        <w:spacing w:before="120" w:after="120"/>
        <w:rPr>
          <w:i/>
          <w:iCs/>
          <w:u w:color="FF0000"/>
        </w:rPr>
      </w:pPr>
      <w:r>
        <w:rPr>
          <w:u w:color="FF0000"/>
        </w:rPr>
        <w:t>New Section 6.C.viii. in the 2021 Standards states</w:t>
      </w:r>
      <w:r>
        <w:rPr>
          <w:i/>
          <w:iCs/>
          <w:u w:color="FF0000"/>
        </w:rPr>
        <w:t xml:space="preserve"> “If in the process of preparing the survey the surveyor becomes aware of a recorded easement not otherwise li</w:t>
      </w:r>
      <w:r>
        <w:rPr>
          <w:i/>
          <w:iCs/>
          <w:u w:color="FF0000"/>
        </w:rPr>
        <w:t>sted in the title evidence provided, the surveyor must advise the insurer prior to delivery of the plat or map and, unless the insurer provides evidence of a release of that easement, show or otherwise explain it on the face of the plat or map, with a note</w:t>
      </w:r>
      <w:r>
        <w:rPr>
          <w:i/>
          <w:iCs/>
          <w:u w:color="FF0000"/>
        </w:rPr>
        <w:t xml:space="preserve"> that the insurer has been advised.”</w:t>
      </w:r>
    </w:p>
    <w:p w14:paraId="6482F6F2" w14:textId="77777777" w:rsidR="00142053" w:rsidRDefault="00E31104">
      <w:pPr>
        <w:pStyle w:val="BodyC"/>
        <w:spacing w:before="240" w:after="120"/>
        <w:rPr>
          <w:u w:color="FF0000"/>
        </w:rPr>
      </w:pPr>
      <w:r>
        <w:rPr>
          <w:u w:color="FF0000"/>
        </w:rPr>
        <w:t>Such a note might be formatted similar to:</w:t>
      </w:r>
    </w:p>
    <w:p w14:paraId="0F4881E7" w14:textId="77777777" w:rsidR="00142053" w:rsidRDefault="00E31104">
      <w:pPr>
        <w:pStyle w:val="BodyC"/>
        <w:spacing w:before="120" w:after="240"/>
        <w:ind w:left="720"/>
        <w:rPr>
          <w:rFonts w:ascii="Arial" w:eastAsia="Arial" w:hAnsi="Arial" w:cs="Arial"/>
          <w:i/>
          <w:iCs/>
          <w:sz w:val="20"/>
          <w:szCs w:val="20"/>
        </w:rPr>
      </w:pPr>
      <w:r>
        <w:rPr>
          <w:i/>
          <w:iCs/>
          <w:u w:color="FF0000"/>
        </w:rPr>
        <w:lastRenderedPageBreak/>
        <w:t>The 20 foot gas-line easement recorded as Instrument number 64-12345 and shown hereon is not listed in the title commitment; however, no evidence of a release, vacation or abandonment has been p</w:t>
      </w:r>
      <w:r>
        <w:rPr>
          <w:i/>
          <w:iCs/>
          <w:u w:color="FF0000"/>
        </w:rPr>
        <w:t>rovided. The title company has been advised.</w:t>
      </w:r>
    </w:p>
    <w:p w14:paraId="6BAC222E" w14:textId="77777777" w:rsidR="00142053" w:rsidRDefault="00E31104">
      <w:pPr>
        <w:pStyle w:val="BodyB"/>
        <w:spacing w:before="240" w:after="240"/>
        <w:rPr>
          <w:rFonts w:ascii="Arial" w:eastAsia="Arial" w:hAnsi="Arial" w:cs="Arial"/>
          <w:b/>
          <w:bCs/>
          <w:sz w:val="20"/>
          <w:szCs w:val="20"/>
        </w:rPr>
      </w:pPr>
      <w:r>
        <w:rPr>
          <w:rFonts w:ascii="Calibri" w:hAnsi="Calibri"/>
          <w:b/>
          <w:bCs/>
        </w:rPr>
        <w:t>Section 7 - Certified parties?</w:t>
      </w:r>
    </w:p>
    <w:p w14:paraId="45A81F71"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Surveyors are often told they need to certify to</w:t>
      </w:r>
      <w:r>
        <w:rPr>
          <w:rFonts w:ascii="Times New Roman" w:hAnsi="Times New Roman"/>
          <w:u w:color="FF0000"/>
        </w:rPr>
        <w:t xml:space="preserve"> multiple parties above and beyond the client, lender and insurer as identified in Section 7 and they need to recognize that more certified parties may equate to more liability. They may wish to consider specifically listing in the contract those parties t</w:t>
      </w:r>
      <w:r>
        <w:rPr>
          <w:rFonts w:ascii="Times New Roman" w:hAnsi="Times New Roman"/>
          <w:u w:color="FF0000"/>
        </w:rPr>
        <w:t xml:space="preserve">hat they will certify to and that </w:t>
      </w:r>
      <w:r>
        <w:rPr>
          <w:rFonts w:ascii="Times New Roman" w:hAnsi="Times New Roman"/>
          <w:u w:color="FF0000"/>
        </w:rPr>
        <w:t>“</w:t>
      </w:r>
      <w:r>
        <w:rPr>
          <w:rFonts w:ascii="Times New Roman" w:hAnsi="Times New Roman"/>
          <w:i/>
          <w:iCs/>
          <w:u w:color="FF0000"/>
        </w:rPr>
        <w:t>additional parties may be certified to for an additional fee.</w:t>
      </w:r>
      <w:r>
        <w:rPr>
          <w:rFonts w:ascii="Times New Roman" w:hAnsi="Times New Roman"/>
          <w:u w:color="FF0000"/>
        </w:rPr>
        <w:t xml:space="preserve">” </w:t>
      </w:r>
      <w:r>
        <w:rPr>
          <w:rFonts w:ascii="Times New Roman" w:hAnsi="Times New Roman"/>
          <w:u w:color="FF0000"/>
        </w:rPr>
        <w:t>If the specific parties are not yet known, they could specify that they will certify to the lender, client and insurer.</w:t>
      </w:r>
    </w:p>
    <w:p w14:paraId="5DCB1F12" w14:textId="77777777" w:rsidR="00142053" w:rsidRDefault="00E31104">
      <w:pPr>
        <w:pStyle w:val="BodyB"/>
        <w:spacing w:before="120" w:after="240"/>
        <w:rPr>
          <w:rFonts w:ascii="Times New Roman" w:eastAsia="Times New Roman" w:hAnsi="Times New Roman" w:cs="Times New Roman"/>
          <w:u w:color="FF0000"/>
        </w:rPr>
      </w:pPr>
      <w:r>
        <w:rPr>
          <w:rFonts w:ascii="Times New Roman" w:hAnsi="Times New Roman"/>
          <w:u w:color="FF0000"/>
        </w:rPr>
        <w:t xml:space="preserve">Often a request is made or direction given to certify to </w:t>
      </w:r>
      <w:r>
        <w:rPr>
          <w:rFonts w:ascii="Times New Roman" w:hAnsi="Times New Roman"/>
          <w:u w:color="FF0000"/>
        </w:rPr>
        <w:t>“</w:t>
      </w:r>
      <w:r>
        <w:rPr>
          <w:rFonts w:ascii="Times New Roman" w:hAnsi="Times New Roman"/>
          <w:u w:color="FF0000"/>
        </w:rPr>
        <w:t>ATIMA</w:t>
      </w:r>
      <w:r>
        <w:rPr>
          <w:rFonts w:ascii="Times New Roman" w:hAnsi="Times New Roman"/>
          <w:u w:color="FF0000"/>
        </w:rPr>
        <w:t xml:space="preserve">” </w:t>
      </w:r>
      <w:r>
        <w:rPr>
          <w:rFonts w:ascii="Times New Roman" w:hAnsi="Times New Roman"/>
          <w:u w:color="FF0000"/>
        </w:rPr>
        <w:t xml:space="preserve">and/or </w:t>
      </w:r>
      <w:r>
        <w:rPr>
          <w:rFonts w:ascii="Times New Roman" w:hAnsi="Times New Roman"/>
          <w:u w:color="FF0000"/>
        </w:rPr>
        <w:t>“</w:t>
      </w:r>
      <w:r>
        <w:rPr>
          <w:rFonts w:ascii="Times New Roman" w:hAnsi="Times New Roman"/>
          <w:u w:color="FF0000"/>
        </w:rPr>
        <w:t>ISAOA.</w:t>
      </w:r>
      <w:r>
        <w:rPr>
          <w:rFonts w:ascii="Times New Roman" w:hAnsi="Times New Roman"/>
          <w:u w:color="FF0000"/>
        </w:rPr>
        <w:t xml:space="preserve">” </w:t>
      </w:r>
      <w:r>
        <w:rPr>
          <w:rFonts w:ascii="Times New Roman" w:hAnsi="Times New Roman"/>
          <w:u w:color="FF0000"/>
        </w:rPr>
        <w:t xml:space="preserve">These are acronyms that mean </w:t>
      </w:r>
      <w:r>
        <w:rPr>
          <w:rFonts w:ascii="Times New Roman" w:hAnsi="Times New Roman"/>
          <w:u w:color="FF0000"/>
        </w:rPr>
        <w:t>“</w:t>
      </w:r>
      <w:r>
        <w:rPr>
          <w:rFonts w:ascii="Times New Roman" w:hAnsi="Times New Roman"/>
          <w:i/>
          <w:iCs/>
          <w:u w:color="FF0000"/>
        </w:rPr>
        <w:t>as their interests may appear</w:t>
      </w:r>
      <w:r>
        <w:rPr>
          <w:rFonts w:ascii="Times New Roman" w:hAnsi="Times New Roman"/>
          <w:u w:color="FF0000"/>
        </w:rPr>
        <w:t xml:space="preserve">” </w:t>
      </w:r>
      <w:r>
        <w:rPr>
          <w:rFonts w:ascii="Times New Roman" w:hAnsi="Times New Roman"/>
          <w:u w:color="FF0000"/>
        </w:rPr>
        <w:t xml:space="preserve">and </w:t>
      </w:r>
      <w:r>
        <w:rPr>
          <w:rFonts w:ascii="Times New Roman" w:hAnsi="Times New Roman"/>
          <w:u w:color="FF0000"/>
        </w:rPr>
        <w:t>“</w:t>
      </w:r>
      <w:r>
        <w:rPr>
          <w:rFonts w:ascii="Times New Roman" w:hAnsi="Times New Roman"/>
          <w:i/>
          <w:iCs/>
          <w:u w:color="FF0000"/>
        </w:rPr>
        <w:t>its suc</w:t>
      </w:r>
      <w:r>
        <w:rPr>
          <w:rFonts w:ascii="Times New Roman" w:hAnsi="Times New Roman"/>
          <w:i/>
          <w:iCs/>
          <w:u w:color="FF0000"/>
        </w:rPr>
        <w:t>cessors and/or assigns.</w:t>
      </w:r>
      <w:r>
        <w:rPr>
          <w:rFonts w:ascii="Times New Roman" w:hAnsi="Times New Roman"/>
          <w:u w:color="FF0000"/>
        </w:rPr>
        <w:t xml:space="preserve">” </w:t>
      </w:r>
      <w:r>
        <w:rPr>
          <w:rFonts w:ascii="Times New Roman" w:hAnsi="Times New Roman"/>
          <w:u w:color="FF0000"/>
        </w:rPr>
        <w:t xml:space="preserve">The loan policy defines </w:t>
      </w:r>
      <w:r>
        <w:rPr>
          <w:rFonts w:ascii="Times New Roman" w:hAnsi="Times New Roman"/>
          <w:u w:color="FF0000"/>
        </w:rPr>
        <w:t>“</w:t>
      </w:r>
      <w:r>
        <w:rPr>
          <w:rFonts w:ascii="Times New Roman" w:hAnsi="Times New Roman"/>
          <w:u w:color="FF0000"/>
        </w:rPr>
        <w:t>insured</w:t>
      </w:r>
      <w:r>
        <w:rPr>
          <w:rFonts w:ascii="Times New Roman" w:hAnsi="Times New Roman"/>
          <w:u w:color="FF0000"/>
        </w:rPr>
        <w:t xml:space="preserve">” </w:t>
      </w:r>
      <w:r>
        <w:rPr>
          <w:rFonts w:ascii="Times New Roman" w:hAnsi="Times New Roman"/>
          <w:u w:color="FF0000"/>
        </w:rPr>
        <w:t>in a way that should remove the need for such wording,</w:t>
      </w:r>
      <w:r>
        <w:rPr>
          <w:rFonts w:ascii="Times New Roman" w:hAnsi="Times New Roman"/>
          <w:u w:color="FF0000"/>
        </w:rPr>
        <w:t xml:space="preserve"> but if the lender demands that the title company put those in the policy, the title company will likely want to surveyor to certify to the same. Surveyors should seek guidance from their attorneys on the desirability of certifying in this matter; however,</w:t>
      </w:r>
      <w:r>
        <w:rPr>
          <w:rFonts w:ascii="Times New Roman" w:hAnsi="Times New Roman"/>
          <w:u w:color="FF0000"/>
        </w:rPr>
        <w:t xml:space="preserve"> in any event, they may want to avoid certifying to successors and assigns of the client/buyer.</w:t>
      </w:r>
    </w:p>
    <w:p w14:paraId="5473DA64" w14:textId="77777777" w:rsidR="00142053" w:rsidRDefault="00E31104">
      <w:pPr>
        <w:pStyle w:val="BodyB"/>
        <w:spacing w:before="240" w:after="240"/>
        <w:rPr>
          <w:rFonts w:ascii="Helvetica" w:eastAsia="Helvetica" w:hAnsi="Helvetica" w:cs="Helvetica"/>
          <w:b/>
          <w:bCs/>
          <w:color w:val="000099"/>
          <w:sz w:val="28"/>
          <w:szCs w:val="28"/>
          <w:u w:color="000099"/>
        </w:rPr>
      </w:pPr>
      <w:r>
        <w:rPr>
          <w:rFonts w:ascii="Calibri" w:hAnsi="Calibri"/>
          <w:b/>
          <w:bCs/>
        </w:rPr>
        <w:t>Section 7 - The date of the fieldwork is obvious, but what is the date of the Plat or Map?</w:t>
      </w:r>
    </w:p>
    <w:p w14:paraId="7B8E1AE5" w14:textId="77777777" w:rsidR="00142053" w:rsidRDefault="00E31104">
      <w:pPr>
        <w:pStyle w:val="BodyB"/>
        <w:spacing w:before="120" w:after="240"/>
        <w:rPr>
          <w:rFonts w:ascii="Times New Roman" w:eastAsia="Times New Roman" w:hAnsi="Times New Roman" w:cs="Times New Roman"/>
          <w:u w:color="FF0000"/>
        </w:rPr>
      </w:pPr>
      <w:r>
        <w:rPr>
          <w:rFonts w:ascii="Times New Roman" w:hAnsi="Times New Roman"/>
          <w:u w:color="FF0000"/>
        </w:rPr>
        <w:t>That</w:t>
      </w:r>
      <w:r>
        <w:rPr>
          <w:rFonts w:ascii="Times New Roman" w:hAnsi="Times New Roman"/>
          <w:u w:color="FF0000"/>
        </w:rPr>
        <w:t xml:space="preserve"> is the date by which the survey will be identified. Many surveyors date the plat or map as of the date they signed it. Others backdate it to the date of the fieldwork. The committees feel this decision is best left to the surveyor.</w:t>
      </w:r>
      <w:r>
        <w:rPr>
          <w:rFonts w:ascii="Times New Roman" w:hAnsi="Times New Roman"/>
          <w:u w:color="FF0000"/>
        </w:rPr>
        <w:t> </w:t>
      </w:r>
      <w:r>
        <w:rPr>
          <w:rFonts w:ascii="Times New Roman" w:hAnsi="Times New Roman"/>
          <w:u w:color="FF0000"/>
        </w:rPr>
        <w:t>In some states, the dat</w:t>
      </w:r>
      <w:r>
        <w:rPr>
          <w:rFonts w:ascii="Times New Roman" w:hAnsi="Times New Roman"/>
          <w:u w:color="FF0000"/>
        </w:rPr>
        <w:t>e of the plat/map may need to be the same as the date of the fieldwork.</w:t>
      </w:r>
    </w:p>
    <w:p w14:paraId="15AACAF7" w14:textId="77777777" w:rsidR="00142053" w:rsidRDefault="00E31104">
      <w:pPr>
        <w:pStyle w:val="BodyB"/>
        <w:spacing w:before="240" w:after="240"/>
        <w:rPr>
          <w:rFonts w:ascii="Calibri" w:eastAsia="Calibri" w:hAnsi="Calibri" w:cs="Calibri"/>
          <w:b/>
          <w:bCs/>
        </w:rPr>
      </w:pPr>
      <w:r>
        <w:rPr>
          <w:rFonts w:ascii="Calibri" w:hAnsi="Calibri"/>
          <w:b/>
          <w:bCs/>
        </w:rPr>
        <w:t xml:space="preserve">Section 7 - New certified parties and current date, but without an </w:t>
      </w:r>
      <w:r>
        <w:rPr>
          <w:rFonts w:ascii="Calibri" w:hAnsi="Calibri"/>
          <w:b/>
          <w:bCs/>
        </w:rPr>
        <w:t>“</w:t>
      </w:r>
      <w:r>
        <w:rPr>
          <w:rFonts w:ascii="Calibri" w:hAnsi="Calibri"/>
          <w:b/>
          <w:bCs/>
        </w:rPr>
        <w:t>Update</w:t>
      </w:r>
      <w:r>
        <w:rPr>
          <w:rFonts w:ascii="Calibri" w:hAnsi="Calibri"/>
          <w:b/>
          <w:bCs/>
        </w:rPr>
        <w:t>”</w:t>
      </w:r>
    </w:p>
    <w:p w14:paraId="54391E4D" w14:textId="77777777" w:rsidR="00142053" w:rsidRDefault="00E31104">
      <w:pPr>
        <w:pStyle w:val="BodyB"/>
        <w:spacing w:before="120" w:after="240"/>
        <w:rPr>
          <w:rFonts w:ascii="Times New Roman" w:eastAsia="Times New Roman" w:hAnsi="Times New Roman" w:cs="Times New Roman"/>
          <w:u w:color="FF0000"/>
        </w:rPr>
      </w:pPr>
      <w:r>
        <w:rPr>
          <w:rFonts w:ascii="Times New Roman" w:hAnsi="Times New Roman"/>
        </w:rPr>
        <w:t xml:space="preserve">Some lenders are wanting the surveyor to not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 xml:space="preserve">an old survey, but merely change the names of the certified parties and provide a current certification. Surveyors need to understand that they may be taking on liability to new parties when they do this, even though they did not </w:t>
      </w:r>
      <w:r>
        <w:rPr>
          <w:rFonts w:ascii="Times New Roman" w:hAnsi="Times New Roman"/>
        </w:rPr>
        <w:t>“</w:t>
      </w:r>
      <w:r>
        <w:rPr>
          <w:rFonts w:ascii="Times New Roman" w:hAnsi="Times New Roman"/>
        </w:rPr>
        <w:t>update</w:t>
      </w:r>
      <w:r>
        <w:rPr>
          <w:rFonts w:ascii="Times New Roman" w:hAnsi="Times New Roman"/>
        </w:rPr>
        <w:t xml:space="preserve">” </w:t>
      </w:r>
      <w:r>
        <w:rPr>
          <w:rFonts w:ascii="Times New Roman" w:hAnsi="Times New Roman"/>
        </w:rPr>
        <w:t>the survey. In ad</w:t>
      </w:r>
      <w:r>
        <w:rPr>
          <w:rFonts w:ascii="Times New Roman" w:hAnsi="Times New Roman"/>
        </w:rPr>
        <w:t xml:space="preserve">dition, sending out a survey with a current certification using out-of-date standards may </w:t>
      </w:r>
      <w:r>
        <w:rPr>
          <w:rFonts w:ascii="Times New Roman" w:hAnsi="Times New Roman"/>
        </w:rPr>
        <w:t xml:space="preserve">— </w:t>
      </w:r>
      <w:r>
        <w:rPr>
          <w:rFonts w:ascii="Times New Roman" w:hAnsi="Times New Roman"/>
        </w:rPr>
        <w:t>and probably should</w:t>
      </w:r>
      <w:r>
        <w:rPr>
          <w:rFonts w:ascii="Times New Roman" w:hAnsi="Times New Roman"/>
        </w:rPr>
        <w:t xml:space="preserve"> — </w:t>
      </w:r>
      <w:r>
        <w:rPr>
          <w:rFonts w:ascii="Times New Roman" w:hAnsi="Times New Roman"/>
        </w:rPr>
        <w:t>be a problem for your Board of Licensure.</w:t>
      </w:r>
    </w:p>
    <w:p w14:paraId="2E4C4F22" w14:textId="77777777" w:rsidR="00142053" w:rsidRDefault="00E31104">
      <w:pPr>
        <w:pStyle w:val="BodyB"/>
        <w:spacing w:before="240" w:after="240"/>
        <w:rPr>
          <w:rFonts w:ascii="Arial" w:eastAsia="Arial" w:hAnsi="Arial" w:cs="Arial"/>
          <w:b/>
          <w:bCs/>
          <w:sz w:val="20"/>
          <w:szCs w:val="20"/>
        </w:rPr>
      </w:pPr>
      <w:r>
        <w:rPr>
          <w:rFonts w:ascii="Calibri" w:hAnsi="Calibri"/>
          <w:b/>
          <w:bCs/>
        </w:rPr>
        <w:t>Table A - What can I modify in Table A?</w:t>
      </w:r>
    </w:p>
    <w:p w14:paraId="4084990D" w14:textId="77777777" w:rsidR="00142053" w:rsidRDefault="00E31104">
      <w:pPr>
        <w:pStyle w:val="BodyB"/>
        <w:spacing w:before="120" w:after="240"/>
        <w:rPr>
          <w:rFonts w:ascii="Arial" w:eastAsia="Arial" w:hAnsi="Arial" w:cs="Arial"/>
          <w:sz w:val="20"/>
          <w:szCs w:val="20"/>
        </w:rPr>
      </w:pPr>
      <w:r>
        <w:rPr>
          <w:rFonts w:ascii="Times New Roman" w:hAnsi="Times New Roman"/>
          <w:u w:color="FF0000"/>
        </w:rPr>
        <w:t xml:space="preserve">The introductory paragraph to Table A has been revised to make it clear - as was always intended - that not only is the very selection of a Table A item negotiable, but </w:t>
      </w:r>
      <w:r>
        <w:rPr>
          <w:rFonts w:ascii="Times New Roman" w:hAnsi="Times New Roman"/>
          <w:i/>
          <w:iCs/>
          <w:u w:color="FF0000"/>
        </w:rPr>
        <w:t>the exact word</w:t>
      </w:r>
      <w:r>
        <w:rPr>
          <w:rFonts w:ascii="Times New Roman" w:hAnsi="Times New Roman"/>
          <w:i/>
          <w:iCs/>
          <w:u w:color="FF0000"/>
        </w:rPr>
        <w:t>ing of the item is also negotiable</w:t>
      </w:r>
      <w:r>
        <w:rPr>
          <w:rFonts w:ascii="Times New Roman" w:hAnsi="Times New Roman"/>
          <w:u w:color="FF0000"/>
        </w:rPr>
        <w:t xml:space="preserve">, as is - of course - the fee. It is permissible for the surveyor and client/lender to negotiate a modification to the wording of any item. Any such modification, however, must be explained in a note placed on the face of </w:t>
      </w:r>
      <w:r>
        <w:rPr>
          <w:rFonts w:ascii="Times New Roman" w:hAnsi="Times New Roman"/>
          <w:u w:color="FF0000"/>
        </w:rPr>
        <w:t>the plat/map pursuant to Section 6.D.ii.(g). Of course, surveyors need to decide for themselves what fee to attach to any given Table A item.</w:t>
      </w:r>
    </w:p>
    <w:p w14:paraId="39F06F6D" w14:textId="77777777" w:rsidR="00142053" w:rsidRDefault="00E31104">
      <w:pPr>
        <w:pStyle w:val="BodyB"/>
        <w:spacing w:before="240" w:after="240"/>
        <w:rPr>
          <w:rFonts w:ascii="Calibri" w:eastAsia="Calibri" w:hAnsi="Calibri" w:cs="Calibri"/>
          <w:b/>
          <w:bCs/>
        </w:rPr>
      </w:pPr>
      <w:r>
        <w:rPr>
          <w:rFonts w:ascii="Calibri" w:hAnsi="Calibri"/>
          <w:b/>
          <w:bCs/>
        </w:rPr>
        <w:t>Table A, item 11 - What about underground utiliti</w:t>
      </w:r>
      <w:r>
        <w:rPr>
          <w:rFonts w:ascii="Calibri" w:hAnsi="Calibri"/>
          <w:b/>
          <w:bCs/>
        </w:rPr>
        <w:t>es?</w:t>
      </w:r>
    </w:p>
    <w:p w14:paraId="57EF6B0F" w14:textId="77777777" w:rsidR="00142053" w:rsidRDefault="00E31104">
      <w:pPr>
        <w:pStyle w:val="BodyB"/>
        <w:spacing w:before="120" w:after="120"/>
        <w:rPr>
          <w:rFonts w:ascii="Times New Roman" w:eastAsia="Times New Roman" w:hAnsi="Times New Roman" w:cs="Times New Roman"/>
          <w:u w:color="FF0000"/>
        </w:rPr>
      </w:pPr>
      <w:r>
        <w:rPr>
          <w:rFonts w:ascii="Calibri" w:hAnsi="Calibri"/>
          <w:b/>
          <w:bCs/>
        </w:rPr>
        <w:lastRenderedPageBreak/>
        <w:t>I</w:t>
      </w:r>
      <w:r>
        <w:rPr>
          <w:rFonts w:ascii="Times New Roman" w:hAnsi="Times New Roman"/>
          <w:u w:color="FF0000"/>
        </w:rPr>
        <w:t xml:space="preserve">tem 11 has been re-written for 2021 in order to better address the realities of underground utility locations. The </w:t>
      </w:r>
      <w:r>
        <w:rPr>
          <w:rFonts w:ascii="Times New Roman" w:hAnsi="Times New Roman"/>
          <w:u w:color="FF0000"/>
        </w:rPr>
        <w:t xml:space="preserve">best thing surveyors can do to help manage expectations in this regard is to reiterate the </w:t>
      </w:r>
      <w:r>
        <w:rPr>
          <w:rFonts w:ascii="Times New Roman" w:hAnsi="Times New Roman"/>
          <w:u w:color="FF0000"/>
        </w:rPr>
        <w:t>“</w:t>
      </w:r>
      <w:r>
        <w:rPr>
          <w:rFonts w:ascii="Times New Roman" w:hAnsi="Times New Roman"/>
          <w:u w:color="FF0000"/>
        </w:rPr>
        <w:t>Note</w:t>
      </w:r>
      <w:r>
        <w:rPr>
          <w:rFonts w:ascii="Times New Roman" w:hAnsi="Times New Roman"/>
          <w:u w:color="FF0000"/>
        </w:rPr>
        <w:t xml:space="preserve">” </w:t>
      </w:r>
      <w:r>
        <w:rPr>
          <w:rFonts w:ascii="Times New Roman" w:hAnsi="Times New Roman"/>
          <w:u w:color="FF0000"/>
        </w:rPr>
        <w:t>following this item in Table A, viz.,</w:t>
      </w:r>
    </w:p>
    <w:p w14:paraId="16EAFCB6" w14:textId="77777777" w:rsidR="00142053" w:rsidRDefault="00E31104">
      <w:pPr>
        <w:pStyle w:val="BodyB"/>
        <w:spacing w:before="120" w:after="240"/>
        <w:ind w:left="720"/>
        <w:rPr>
          <w:rFonts w:ascii="Times New Roman" w:eastAsia="Times New Roman" w:hAnsi="Times New Roman" w:cs="Times New Roman"/>
          <w:i/>
          <w:iCs/>
          <w:u w:color="FF0000"/>
        </w:rPr>
      </w:pPr>
      <w:r>
        <w:rPr>
          <w:rFonts w:ascii="Times New Roman" w:hAnsi="Times New Roman"/>
          <w:i/>
          <w:iCs/>
          <w:u w:color="FF0000"/>
        </w:rPr>
        <w:t xml:space="preserve">Note to the client, insurer, and lender </w:t>
      </w:r>
      <w:r>
        <w:rPr>
          <w:rFonts w:ascii="Times New Roman" w:hAnsi="Times New Roman"/>
          <w:i/>
          <w:iCs/>
          <w:u w:color="FF0000"/>
        </w:rPr>
        <w:t xml:space="preserve">– </w:t>
      </w:r>
      <w:r>
        <w:rPr>
          <w:rFonts w:ascii="Times New Roman" w:hAnsi="Times New Roman"/>
          <w:i/>
          <w:iCs/>
          <w:u w:color="FF0000"/>
        </w:rPr>
        <w:t xml:space="preserve">With regard to Table A, item 11, information from the sources checked </w:t>
      </w:r>
      <w:r>
        <w:rPr>
          <w:rFonts w:ascii="Times New Roman" w:hAnsi="Times New Roman"/>
          <w:i/>
          <w:iCs/>
          <w:u w:color="FF0000"/>
        </w:rPr>
        <w:t>above will be combined with observed evidence of utilities pursuant to Section 5.E.iv. to develop a view of the underground utilities. However, lacking excavation, the exact location of underground features cannot be accurately, completely, and reliably de</w:t>
      </w:r>
      <w:r>
        <w:rPr>
          <w:rFonts w:ascii="Times New Roman" w:hAnsi="Times New Roman"/>
          <w:i/>
          <w:iCs/>
          <w:u w:color="FF0000"/>
        </w:rPr>
        <w:t>picted. In addition, in some jurisdictions, 811 or other similar utility locate requests from surveyors may be ignored or result in an incomplete response, in which case the surveyor shall note on the plat or map how this affected the surveyor</w:t>
      </w:r>
      <w:r>
        <w:rPr>
          <w:rFonts w:ascii="Times New Roman" w:hAnsi="Times New Roman"/>
          <w:i/>
          <w:iCs/>
          <w:u w:color="FF0000"/>
        </w:rPr>
        <w:t>’</w:t>
      </w:r>
      <w:r>
        <w:rPr>
          <w:rFonts w:ascii="Times New Roman" w:hAnsi="Times New Roman"/>
          <w:i/>
          <w:iCs/>
          <w:u w:color="FF0000"/>
        </w:rPr>
        <w:t>s assessment</w:t>
      </w:r>
      <w:r>
        <w:rPr>
          <w:rFonts w:ascii="Times New Roman" w:hAnsi="Times New Roman"/>
          <w:i/>
          <w:iCs/>
          <w:u w:color="FF0000"/>
        </w:rPr>
        <w:t xml:space="preserve"> of the location of the utilities. Where additional or more detailed information is required, the client is advised that excavation may be necessary.</w:t>
      </w:r>
    </w:p>
    <w:p w14:paraId="4FED98EC" w14:textId="77777777" w:rsidR="00142053" w:rsidRDefault="00E31104">
      <w:pPr>
        <w:pStyle w:val="BodyB"/>
        <w:suppressAutoHyphens/>
        <w:spacing w:before="240" w:after="240"/>
        <w:rPr>
          <w:rFonts w:ascii="Calibri" w:eastAsia="Calibri" w:hAnsi="Calibri" w:cs="Calibri"/>
          <w:b/>
          <w:bCs/>
        </w:rPr>
      </w:pPr>
      <w:r>
        <w:rPr>
          <w:rFonts w:ascii="Calibri" w:hAnsi="Calibri"/>
          <w:b/>
          <w:bCs/>
        </w:rPr>
        <w:t>Table A, item 11(b) - Does this item require an 811 locate request or a Level B SUE investigation?</w:t>
      </w:r>
    </w:p>
    <w:p w14:paraId="69108886"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No, nei</w:t>
      </w:r>
      <w:r>
        <w:rPr>
          <w:rFonts w:ascii="Times New Roman" w:hAnsi="Times New Roman"/>
          <w:u w:color="FF0000"/>
        </w:rPr>
        <w:t xml:space="preserve">ther! Because in many, if not most, parts of the country an 811 locate request from a surveyor is an exercise in frustration and futility, the Joint ALTA/NSPS Committee dropped reference to 811 locate requests and added the </w:t>
      </w:r>
      <w:r>
        <w:rPr>
          <w:rFonts w:ascii="Times New Roman" w:hAnsi="Times New Roman"/>
          <w:u w:color="FF0000"/>
        </w:rPr>
        <w:t>“</w:t>
      </w:r>
      <w:r>
        <w:rPr>
          <w:rFonts w:ascii="Times New Roman" w:hAnsi="Times New Roman"/>
          <w:u w:color="FF0000"/>
        </w:rPr>
        <w:t>private locate request</w:t>
      </w:r>
      <w:r>
        <w:rPr>
          <w:rFonts w:ascii="Times New Roman" w:hAnsi="Times New Roman"/>
          <w:u w:color="FF0000"/>
        </w:rPr>
        <w:t xml:space="preserve">” </w:t>
      </w:r>
      <w:r>
        <w:rPr>
          <w:rFonts w:ascii="Times New Roman" w:hAnsi="Times New Roman"/>
          <w:u w:color="FF0000"/>
        </w:rPr>
        <w:t>as 11(b</w:t>
      </w:r>
      <w:r>
        <w:rPr>
          <w:rFonts w:ascii="Times New Roman" w:hAnsi="Times New Roman"/>
          <w:u w:color="FF0000"/>
        </w:rPr>
        <w:t>).</w:t>
      </w:r>
    </w:p>
    <w:p w14:paraId="3A526102"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 xml:space="preserve">The intent of 11(b) is to hire a private locator, rather than making an 811 locate request or hiring someone to do a Level B SUE investigation. </w:t>
      </w:r>
    </w:p>
    <w:p w14:paraId="05606BE3"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If item 11(b) is checked, the surveyor needs to discuss with the client who will make the locate request and</w:t>
      </w:r>
      <w:r>
        <w:rPr>
          <w:rFonts w:ascii="Times New Roman" w:hAnsi="Times New Roman"/>
          <w:u w:color="FF0000"/>
        </w:rPr>
        <w:t xml:space="preserve"> who will paying for it. Obviously, if the surveyor is paying, the associated fee would be added to the survey costs.</w:t>
      </w:r>
    </w:p>
    <w:p w14:paraId="5F1794FE"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Keep in mind, however, that the wording of Table A items is always negotiable, so if in your area, an 811 locate request is actually fruit</w:t>
      </w:r>
      <w:r>
        <w:rPr>
          <w:rFonts w:ascii="Times New Roman" w:hAnsi="Times New Roman"/>
          <w:u w:color="FF0000"/>
        </w:rPr>
        <w:t xml:space="preserve">ful - or if the client insists on a Level B SUE investigation - the wording of 11(b) can be negotiated, modified and the word </w:t>
      </w:r>
      <w:r>
        <w:rPr>
          <w:rFonts w:ascii="Times New Roman" w:hAnsi="Times New Roman"/>
          <w:u w:color="FF0000"/>
        </w:rPr>
        <w:t>“</w:t>
      </w:r>
      <w:r>
        <w:rPr>
          <w:rFonts w:ascii="Times New Roman" w:hAnsi="Times New Roman"/>
          <w:u w:color="FF0000"/>
        </w:rPr>
        <w:t>private</w:t>
      </w:r>
      <w:r>
        <w:rPr>
          <w:rFonts w:ascii="Times New Roman" w:hAnsi="Times New Roman"/>
          <w:u w:color="FF0000"/>
        </w:rPr>
        <w:t xml:space="preserve">” </w:t>
      </w:r>
      <w:r>
        <w:rPr>
          <w:rFonts w:ascii="Times New Roman" w:hAnsi="Times New Roman"/>
          <w:u w:color="FF0000"/>
        </w:rPr>
        <w:t xml:space="preserve">replaced with </w:t>
      </w:r>
      <w:r>
        <w:rPr>
          <w:rFonts w:ascii="Times New Roman" w:hAnsi="Times New Roman"/>
          <w:u w:color="FF0000"/>
        </w:rPr>
        <w:t>“</w:t>
      </w:r>
      <w:r>
        <w:rPr>
          <w:rFonts w:ascii="Times New Roman" w:hAnsi="Times New Roman"/>
          <w:u w:color="FF0000"/>
        </w:rPr>
        <w:t>811</w:t>
      </w:r>
      <w:r>
        <w:rPr>
          <w:rFonts w:ascii="Times New Roman" w:hAnsi="Times New Roman"/>
          <w:u w:color="FF0000"/>
        </w:rPr>
        <w:t xml:space="preserve">” </w:t>
      </w:r>
      <w:r>
        <w:rPr>
          <w:rFonts w:ascii="Times New Roman" w:hAnsi="Times New Roman"/>
          <w:u w:color="FF0000"/>
        </w:rPr>
        <w:t xml:space="preserve">or </w:t>
      </w:r>
      <w:r>
        <w:rPr>
          <w:rFonts w:ascii="Times New Roman" w:hAnsi="Times New Roman"/>
          <w:u w:color="FF0000"/>
        </w:rPr>
        <w:t>“</w:t>
      </w:r>
      <w:r>
        <w:rPr>
          <w:rFonts w:ascii="Times New Roman" w:hAnsi="Times New Roman"/>
          <w:u w:color="FF0000"/>
        </w:rPr>
        <w:t>Level B SUE investigation.</w:t>
      </w:r>
      <w:r>
        <w:rPr>
          <w:rFonts w:ascii="Times New Roman" w:hAnsi="Times New Roman"/>
          <w:u w:color="FF0000"/>
        </w:rPr>
        <w:t>”</w:t>
      </w:r>
    </w:p>
    <w:p w14:paraId="26BBB096" w14:textId="77777777" w:rsidR="00142053" w:rsidRDefault="00E31104">
      <w:pPr>
        <w:pStyle w:val="BodyB"/>
        <w:suppressAutoHyphens/>
        <w:spacing w:before="240" w:after="240"/>
        <w:rPr>
          <w:rFonts w:ascii="Calibri" w:eastAsia="Calibri" w:hAnsi="Calibri" w:cs="Calibri"/>
          <w:b/>
          <w:bCs/>
        </w:rPr>
      </w:pPr>
      <w:r>
        <w:rPr>
          <w:rFonts w:ascii="Calibri" w:hAnsi="Calibri"/>
          <w:b/>
          <w:bCs/>
        </w:rPr>
        <w:t xml:space="preserve">Table A item 19 - </w:t>
      </w:r>
      <w:r>
        <w:rPr>
          <w:rFonts w:ascii="Calibri" w:hAnsi="Calibri"/>
          <w:b/>
          <w:bCs/>
        </w:rPr>
        <w:t>“</w:t>
      </w:r>
      <w:r>
        <w:rPr>
          <w:rFonts w:ascii="Calibri" w:hAnsi="Calibri"/>
          <w:b/>
          <w:bCs/>
        </w:rPr>
        <w:t xml:space="preserve">What does </w:t>
      </w:r>
      <w:r>
        <w:rPr>
          <w:rFonts w:ascii="Calibri" w:hAnsi="Calibri"/>
          <w:b/>
          <w:bCs/>
        </w:rPr>
        <w:t>‘</w:t>
      </w:r>
      <w:r>
        <w:rPr>
          <w:rFonts w:ascii="Calibri" w:hAnsi="Calibri"/>
          <w:b/>
          <w:bCs/>
          <w:i/>
          <w:iCs/>
        </w:rPr>
        <w:t>This item shall not be addressed on th</w:t>
      </w:r>
      <w:r>
        <w:rPr>
          <w:rFonts w:ascii="Calibri" w:hAnsi="Calibri"/>
          <w:b/>
          <w:bCs/>
          <w:i/>
          <w:iCs/>
        </w:rPr>
        <w:t>e face of the plat or map</w:t>
      </w:r>
      <w:r>
        <w:rPr>
          <w:rFonts w:ascii="Calibri" w:hAnsi="Calibri"/>
          <w:b/>
          <w:bCs/>
          <w:i/>
          <w:iCs/>
        </w:rPr>
        <w:t>’</w:t>
      </w:r>
      <w:r>
        <w:rPr>
          <w:rFonts w:ascii="Calibri" w:hAnsi="Calibri"/>
          <w:b/>
          <w:bCs/>
        </w:rPr>
        <w:t xml:space="preserve"> refer to? The minimum amount of insurance to be in effect throughout the contract term </w:t>
      </w:r>
      <w:r>
        <w:rPr>
          <w:rFonts w:ascii="Calibri" w:hAnsi="Calibri"/>
          <w:b/>
          <w:bCs/>
          <w:i/>
          <w:iCs/>
        </w:rPr>
        <w:t>and/or</w:t>
      </w:r>
      <w:r>
        <w:rPr>
          <w:rFonts w:ascii="Calibri" w:hAnsi="Calibri"/>
          <w:b/>
          <w:bCs/>
        </w:rPr>
        <w:t xml:space="preserve"> the certificate of insurance?</w:t>
      </w:r>
    </w:p>
    <w:p w14:paraId="09723BF1"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 xml:space="preserve">In that phrase, </w:t>
      </w:r>
      <w:r>
        <w:rPr>
          <w:rFonts w:ascii="Times New Roman" w:hAnsi="Times New Roman"/>
          <w:u w:color="FF0000"/>
        </w:rPr>
        <w:t>“</w:t>
      </w:r>
      <w:r>
        <w:rPr>
          <w:rFonts w:ascii="Times New Roman" w:hAnsi="Times New Roman"/>
          <w:u w:color="FF0000"/>
        </w:rPr>
        <w:t>This item</w:t>
      </w:r>
      <w:r>
        <w:rPr>
          <w:rFonts w:ascii="Times New Roman" w:hAnsi="Times New Roman"/>
          <w:u w:color="FF0000"/>
        </w:rPr>
        <w:t xml:space="preserve">” </w:t>
      </w:r>
      <w:r>
        <w:rPr>
          <w:rFonts w:ascii="Times New Roman" w:hAnsi="Times New Roman"/>
          <w:u w:color="FF0000"/>
        </w:rPr>
        <w:t xml:space="preserve">refers to the totality of Item 19 and that, by implication, means </w:t>
      </w:r>
      <w:r>
        <w:rPr>
          <w:rFonts w:ascii="Times New Roman" w:hAnsi="Times New Roman"/>
          <w:u w:color="FF0000"/>
        </w:rPr>
        <w:t>everything associated with the item.</w:t>
      </w:r>
    </w:p>
    <w:p w14:paraId="7E725108" w14:textId="77777777" w:rsidR="00142053" w:rsidRDefault="00E31104">
      <w:pPr>
        <w:pStyle w:val="BodyB"/>
        <w:spacing w:before="120" w:after="120"/>
        <w:rPr>
          <w:rFonts w:ascii="Times New Roman" w:eastAsia="Times New Roman" w:hAnsi="Times New Roman" w:cs="Times New Roman"/>
          <w:u w:color="FF0000"/>
        </w:rPr>
      </w:pPr>
      <w:r>
        <w:rPr>
          <w:rFonts w:ascii="Times New Roman" w:hAnsi="Times New Roman"/>
          <w:u w:color="FF0000"/>
        </w:rPr>
        <w:t>The intent of the requirement is that nothing related to Item 19 should be reflected on the plat/map. The item does not even need to be mentioned in the certificate as a Table A item. If proof of insurance has been prov</w:t>
      </w:r>
      <w:r>
        <w:rPr>
          <w:rFonts w:ascii="Times New Roman" w:hAnsi="Times New Roman"/>
          <w:u w:color="FF0000"/>
        </w:rPr>
        <w:t>ided (typically a certificate of insurance), there is no reason for anything regarding insurance to appear on the plat/map.</w:t>
      </w:r>
    </w:p>
    <w:p w14:paraId="029BA0DD" w14:textId="77777777" w:rsidR="00142053" w:rsidRDefault="00E31104">
      <w:pPr>
        <w:pStyle w:val="BodyB"/>
        <w:spacing w:before="120" w:after="120"/>
      </w:pPr>
      <w:r>
        <w:rPr>
          <w:rFonts w:ascii="Times New Roman" w:hAnsi="Times New Roman"/>
          <w:u w:color="FF0000"/>
        </w:rPr>
        <w:t xml:space="preserve"> </w:t>
      </w:r>
    </w:p>
    <w:sectPr w:rsidR="00142053">
      <w:headerReference w:type="default" r:id="rId6"/>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969B32" w14:textId="77777777" w:rsidR="00E31104" w:rsidRDefault="00E31104">
      <w:r>
        <w:separator/>
      </w:r>
    </w:p>
  </w:endnote>
  <w:endnote w:type="continuationSeparator" w:id="0">
    <w:p w14:paraId="05E5BFF4" w14:textId="77777777" w:rsidR="00E31104" w:rsidRDefault="00E311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A5D0A" w14:textId="77777777" w:rsidR="00142053" w:rsidRDefault="00E31104">
    <w:pPr>
      <w:pStyle w:val="HeaderFooter"/>
    </w:pPr>
    <w:r>
      <w:fldChar w:fldCharType="begin"/>
    </w:r>
    <w:r>
      <w:instrText xml:space="preserve"> PAGE </w:instrText>
    </w:r>
    <w:r>
      <w:fldChar w:fldCharType="separate"/>
    </w:r>
    <w:r w:rsidR="004D2C20">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D1716" w14:textId="77777777" w:rsidR="00E31104" w:rsidRDefault="00E31104">
      <w:r>
        <w:separator/>
      </w:r>
    </w:p>
  </w:footnote>
  <w:footnote w:type="continuationSeparator" w:id="0">
    <w:p w14:paraId="2B5DBED0" w14:textId="77777777" w:rsidR="00E31104" w:rsidRDefault="00E311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57465" w14:textId="77777777" w:rsidR="00142053" w:rsidRDefault="00142053">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2053"/>
    <w:rsid w:val="00142053"/>
    <w:rsid w:val="004D2C20"/>
    <w:rsid w:val="00C72137"/>
    <w:rsid w:val="00E31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B23C2"/>
  <w15:docId w15:val="{EDDC9380-A68D-4112-9CB4-7F27A63BE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jc w:val="center"/>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BodyA">
    <w:name w:val="Body A"/>
    <w:pPr>
      <w:spacing w:after="160" w:line="259" w:lineRule="auto"/>
    </w:pPr>
    <w:rPr>
      <w:rFonts w:ascii="Calibri" w:hAnsi="Calibri" w:cs="Arial Unicode MS"/>
      <w:color w:val="000000"/>
      <w:sz w:val="22"/>
      <w:szCs w:val="22"/>
      <w:u w:color="000000"/>
      <w14:textOutline w14:w="12700" w14:cap="flat" w14:cmpd="sng" w14:algn="ctr">
        <w14:noFill/>
        <w14:prstDash w14:val="solid"/>
        <w14:miter w14:lim="400000"/>
      </w14:textOutline>
    </w:rPr>
  </w:style>
  <w:style w:type="paragraph" w:customStyle="1" w:styleId="BodyB">
    <w:name w:val="Body B"/>
    <w:pPr>
      <w:spacing w:before="160"/>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Default">
    <w:name w:val="Default"/>
    <w:pPr>
      <w:spacing w:before="160"/>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BodyC">
    <w:name w:val="Body C"/>
    <w:rPr>
      <w:rFonts w:cs="Arial Unicode MS"/>
      <w:color w:val="000000"/>
      <w:sz w:val="24"/>
      <w:szCs w:val="24"/>
      <w:u w:color="000000"/>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3677</Words>
  <Characters>20963</Characters>
  <Application>Microsoft Office Word</Application>
  <DocSecurity>0</DocSecurity>
  <Lines>174</Lines>
  <Paragraphs>49</Paragraphs>
  <ScaleCrop>false</ScaleCrop>
  <Company/>
  <LinksUpToDate>false</LinksUpToDate>
  <CharactersWithSpaces>24591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Steven Gold</dc:creator>
  <cp:lastModifiedBy>Steven Gold</cp:lastModifiedBy>
  <cp:revision>3</cp:revision>
  <dcterms:created xsi:type="dcterms:W3CDTF">2022-01-26T18:54:00Z</dcterms:created>
  <dcterms:modified xsi:type="dcterms:W3CDTF">2022-01-26T18:57:00Z</dcterms:modified>
</cp:coreProperties>
</file>